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spacing w:before="0" w:beforeAutospacing="0" w:after="0" w:afterAutospacing="0" w:line="570" w:lineRule="exact"/>
        <w:jc w:val="center"/>
        <w:rPr>
          <w:rStyle w:val="8"/>
          <w:rFonts w:hint="eastAsia" w:ascii="方正小标宋_GBK" w:hAnsi="方正小标宋_GBK" w:eastAsia="方正小标宋_GBK" w:cs="方正小标宋_GBK"/>
          <w:b w:val="0"/>
          <w:sz w:val="44"/>
          <w:szCs w:val="44"/>
        </w:rPr>
      </w:pPr>
    </w:p>
    <w:p>
      <w:pPr>
        <w:pStyle w:val="5"/>
        <w:spacing w:before="0" w:beforeAutospacing="0" w:after="0" w:afterAutospacing="0" w:line="570" w:lineRule="exact"/>
        <w:jc w:val="center"/>
        <w:rPr>
          <w:rStyle w:val="8"/>
          <w:rFonts w:hint="eastAsia" w:ascii="方正小标宋_GBK" w:hAnsi="方正小标宋_GBK" w:eastAsia="方正小标宋_GBK" w:cs="方正小标宋_GBK"/>
          <w:b w:val="0"/>
          <w:sz w:val="44"/>
          <w:szCs w:val="44"/>
        </w:rPr>
      </w:pPr>
    </w:p>
    <w:p>
      <w:pPr>
        <w:pStyle w:val="5"/>
        <w:spacing w:before="0" w:beforeAutospacing="0" w:after="0" w:afterAutospacing="0" w:line="570" w:lineRule="exact"/>
        <w:jc w:val="center"/>
        <w:rPr>
          <w:rFonts w:hint="eastAsia"/>
          <w:sz w:val="28"/>
          <w:szCs w:val="28"/>
        </w:rPr>
      </w:pPr>
      <w:r>
        <w:rPr>
          <w:rStyle w:val="8"/>
          <w:rFonts w:hint="eastAsia" w:ascii="方正小标宋_GBK" w:hAnsi="方正小标宋_GBK" w:eastAsia="方正小标宋_GBK" w:cs="方正小标宋_GBK"/>
          <w:b w:val="0"/>
          <w:sz w:val="44"/>
          <w:szCs w:val="44"/>
        </w:rPr>
        <w:t>关于《关于进一步加强建筑保温材料进场检测管理工作的通知》的起草说明</w:t>
      </w:r>
    </w:p>
    <w:p>
      <w:pPr>
        <w:pStyle w:val="5"/>
        <w:spacing w:before="0" w:beforeAutospacing="0" w:after="0" w:afterAutospacing="0" w:line="570" w:lineRule="exact"/>
        <w:ind w:firstLine="640" w:firstLineChars="200"/>
        <w:jc w:val="both"/>
        <w:rPr>
          <w:rFonts w:hint="eastAsia" w:ascii="黑体" w:hAnsi="黑体" w:eastAsia="黑体" w:cs="黑体"/>
          <w:sz w:val="32"/>
          <w:szCs w:val="32"/>
        </w:rPr>
      </w:pPr>
    </w:p>
    <w:p>
      <w:pPr>
        <w:pStyle w:val="5"/>
        <w:spacing w:before="0" w:beforeAutospacing="0" w:after="0" w:afterAutospacing="0" w:line="570" w:lineRule="exact"/>
        <w:ind w:firstLine="640" w:firstLineChars="200"/>
        <w:jc w:val="both"/>
        <w:rPr>
          <w:rFonts w:hint="eastAsia" w:ascii="方正仿宋_GB2312" w:hAnsi="方正仿宋_GB2312" w:eastAsia="方正仿宋_GB2312" w:cs="方正仿宋_GB2312"/>
          <w:sz w:val="32"/>
          <w:szCs w:val="32"/>
        </w:rPr>
      </w:pPr>
      <w:r>
        <w:rPr>
          <w:rFonts w:hint="eastAsia" w:ascii="黑体" w:hAnsi="黑体" w:eastAsia="黑体" w:cs="黑体"/>
          <w:sz w:val="32"/>
          <w:szCs w:val="32"/>
        </w:rPr>
        <w:t>一、起草背景</w:t>
      </w:r>
      <w:r>
        <w:rPr>
          <w:rFonts w:hint="eastAsia" w:ascii="方正仿宋_GB2312" w:hAnsi="方正仿宋_GB2312" w:eastAsia="方正仿宋_GB2312" w:cs="方正仿宋_GB2312"/>
          <w:sz w:val="32"/>
          <w:szCs w:val="32"/>
        </w:rPr>
        <w:t xml:space="preserve"> </w:t>
      </w:r>
    </w:p>
    <w:p>
      <w:pPr>
        <w:spacing w:line="57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为深入学习贯彻习近平总书记关于安全生产重要指示批示精神，严格落实国家和省关于建筑保温材料安全隐患全链条整治工作要求，坚决防范遏制建筑保温材料引发火灾事故，依据《中华人民共和国建筑法》《建设工程质量管理条例》《建设工程质量检测管理办法》《建筑保温材料安全隐患全链条整治行动实施方案》（安委〔2025〕3 号）《省安全生产委员会省消防安全委员会关于印发</w:t>
      </w:r>
      <w:r>
        <w:rPr>
          <w:rFonts w:hint="eastAsia" w:ascii="方正仿宋_GBK" w:hAnsi="方正仿宋_GBK" w:eastAsia="方正仿宋_GBK" w:cs="方正仿宋_GBK"/>
          <w:sz w:val="32"/>
          <w:szCs w:val="32"/>
          <w:lang w:val="en-US" w:eastAsia="zh-CN"/>
        </w:rPr>
        <w:t>&lt;</w:t>
      </w:r>
      <w:r>
        <w:rPr>
          <w:rFonts w:hint="eastAsia" w:ascii="方正仿宋_GBK" w:hAnsi="方正仿宋_GBK" w:eastAsia="方正仿宋_GBK" w:cs="方正仿宋_GBK"/>
          <w:sz w:val="32"/>
          <w:szCs w:val="32"/>
        </w:rPr>
        <w:t>江苏省人员密集场所动火作业安全管理全链条整治行动实施方案</w:t>
      </w:r>
      <w:r>
        <w:rPr>
          <w:rFonts w:hint="eastAsia" w:ascii="方正仿宋_GBK" w:hAnsi="方正仿宋_GBK" w:eastAsia="方正仿宋_GBK" w:cs="方正仿宋_GBK"/>
          <w:sz w:val="32"/>
          <w:szCs w:val="32"/>
          <w:lang w:val="en-US" w:eastAsia="zh-CN"/>
        </w:rPr>
        <w:t>&gt;</w:t>
      </w:r>
      <w:r>
        <w:rPr>
          <w:rFonts w:hint="eastAsia" w:ascii="方正仿宋_GBK" w:hAnsi="方正仿宋_GBK" w:eastAsia="方正仿宋_GBK" w:cs="方正仿宋_GBK"/>
          <w:sz w:val="32"/>
          <w:szCs w:val="32"/>
        </w:rPr>
        <w:t>和</w:t>
      </w:r>
      <w:r>
        <w:rPr>
          <w:rFonts w:hint="eastAsia" w:ascii="方正仿宋_GBK" w:hAnsi="方正仿宋_GBK" w:eastAsia="方正仿宋_GBK" w:cs="方正仿宋_GBK"/>
          <w:sz w:val="32"/>
          <w:szCs w:val="32"/>
          <w:lang w:val="en-US" w:eastAsia="zh-CN"/>
        </w:rPr>
        <w:t>&lt;</w:t>
      </w:r>
      <w:r>
        <w:rPr>
          <w:rFonts w:hint="eastAsia" w:ascii="方正仿宋_GBK" w:hAnsi="方正仿宋_GBK" w:eastAsia="方正仿宋_GBK" w:cs="方正仿宋_GBK"/>
          <w:sz w:val="32"/>
          <w:szCs w:val="32"/>
        </w:rPr>
        <w:t>江苏省建筑保温材料安全隐患全链条整治行动实施方案</w:t>
      </w:r>
      <w:r>
        <w:rPr>
          <w:rFonts w:hint="eastAsia" w:ascii="方正仿宋_GBK" w:hAnsi="方正仿宋_GBK" w:eastAsia="方正仿宋_GBK" w:cs="方正仿宋_GBK"/>
          <w:sz w:val="32"/>
          <w:szCs w:val="32"/>
          <w:lang w:val="en-US" w:eastAsia="zh-CN"/>
        </w:rPr>
        <w:t>&gt;</w:t>
      </w:r>
      <w:r>
        <w:rPr>
          <w:rFonts w:hint="eastAsia" w:ascii="方正仿宋_GBK" w:hAnsi="方正仿宋_GBK" w:eastAsia="方正仿宋_GBK" w:cs="方正仿宋_GBK"/>
          <w:sz w:val="32"/>
          <w:szCs w:val="32"/>
        </w:rPr>
        <w:t>的通知》（苏安〔2025〕2号）《关于印发</w:t>
      </w:r>
      <w:r>
        <w:rPr>
          <w:rFonts w:hint="eastAsia" w:ascii="方正仿宋_GBK" w:hAnsi="方正仿宋_GBK" w:eastAsia="方正仿宋_GBK" w:cs="方正仿宋_GBK"/>
          <w:sz w:val="32"/>
          <w:szCs w:val="32"/>
          <w:lang w:val="en-US" w:eastAsia="zh-CN"/>
        </w:rPr>
        <w:t>&lt;</w:t>
      </w:r>
      <w:r>
        <w:rPr>
          <w:rFonts w:hint="eastAsia" w:ascii="方正仿宋_GBK" w:hAnsi="方正仿宋_GBK" w:eastAsia="方正仿宋_GBK" w:cs="方正仿宋_GBK"/>
          <w:sz w:val="32"/>
          <w:szCs w:val="32"/>
        </w:rPr>
        <w:t>江苏省建设工程质量检测管理实施细则</w:t>
      </w:r>
      <w:r>
        <w:rPr>
          <w:rFonts w:hint="eastAsia" w:ascii="方正仿宋_GBK" w:hAnsi="方正仿宋_GBK" w:eastAsia="方正仿宋_GBK" w:cs="方正仿宋_GBK"/>
          <w:sz w:val="32"/>
          <w:szCs w:val="32"/>
          <w:lang w:val="en-US" w:eastAsia="zh-CN"/>
        </w:rPr>
        <w:t>&gt;</w:t>
      </w:r>
      <w:r>
        <w:rPr>
          <w:rFonts w:hint="eastAsia" w:ascii="方正仿宋_GBK" w:hAnsi="方正仿宋_GBK" w:eastAsia="方正仿宋_GBK" w:cs="方正仿宋_GBK"/>
          <w:sz w:val="32"/>
          <w:szCs w:val="32"/>
        </w:rPr>
        <w:t>的通知》（苏建规字〔2025〕1号）等法律法规和文件，我厅制定了《关于进一步加强建筑保温材料进场检测管理工作的通知》（以下简称《通知》）。</w:t>
      </w:r>
    </w:p>
    <w:p>
      <w:pPr>
        <w:spacing w:line="57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《通知》旨在通过明确建筑保温材料进场检测管理要求、规范建筑保温材料见证取样送检和检测行为，进一步强化工程质量主体责任，保障建筑保温材料质量。</w:t>
      </w:r>
    </w:p>
    <w:p>
      <w:pPr>
        <w:pStyle w:val="5"/>
        <w:spacing w:before="0" w:beforeAutospacing="0" w:after="0" w:afterAutospacing="0" w:line="570" w:lineRule="exact"/>
        <w:ind w:firstLine="640" w:firstLineChars="200"/>
        <w:jc w:val="both"/>
        <w:rPr>
          <w:rFonts w:hint="eastAsia" w:ascii="黑体" w:hAnsi="黑体" w:eastAsia="黑体" w:cs="黑体"/>
          <w:sz w:val="32"/>
          <w:szCs w:val="32"/>
        </w:rPr>
      </w:pPr>
      <w:r>
        <w:rPr>
          <w:rFonts w:hint="eastAsia" w:ascii="黑体" w:hAnsi="黑体" w:eastAsia="黑体" w:cs="黑体"/>
          <w:sz w:val="32"/>
          <w:szCs w:val="32"/>
        </w:rPr>
        <w:t>二、起草过程</w:t>
      </w:r>
    </w:p>
    <w:p>
      <w:pPr>
        <w:spacing w:line="57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对检测机构、建设单位、监理单位、施工单位进行调研，结合我省实际情况，经过反复沟通、协商、修改和完善，形成了《通知》。</w:t>
      </w:r>
    </w:p>
    <w:p>
      <w:pPr>
        <w:pStyle w:val="5"/>
        <w:spacing w:before="0" w:beforeAutospacing="0" w:after="0" w:afterAutospacing="0" w:line="570" w:lineRule="exact"/>
        <w:ind w:firstLine="640" w:firstLineChars="200"/>
        <w:jc w:val="both"/>
        <w:rPr>
          <w:rFonts w:hint="eastAsia" w:ascii="黑体" w:hAnsi="黑体" w:eastAsia="黑体" w:cs="黑体"/>
          <w:sz w:val="32"/>
          <w:szCs w:val="32"/>
        </w:rPr>
      </w:pPr>
      <w:r>
        <w:rPr>
          <w:rFonts w:hint="eastAsia" w:ascii="黑体" w:hAnsi="黑体" w:eastAsia="黑体" w:cs="黑体"/>
          <w:sz w:val="32"/>
          <w:szCs w:val="32"/>
        </w:rPr>
        <w:t>三、主要内容</w:t>
      </w:r>
    </w:p>
    <w:p>
      <w:pPr>
        <w:spacing w:line="57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《通知》主要有四个部分内容。</w:t>
      </w:r>
    </w:p>
    <w:p>
      <w:pPr>
        <w:spacing w:line="570" w:lineRule="exact"/>
        <w:ind w:firstLine="640" w:firstLineChars="200"/>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第一部分要求充分认识建筑保温材料进场检测工作的重要性。</w:t>
      </w:r>
      <w:r>
        <w:rPr>
          <w:rFonts w:hint="eastAsia" w:ascii="方正仿宋_GBK" w:hAnsi="方正仿宋_GBK" w:eastAsia="方正仿宋_GBK" w:cs="方正仿宋_GBK"/>
          <w:sz w:val="32"/>
          <w:szCs w:val="32"/>
        </w:rPr>
        <w:t>规范建筑保温材料进场检测工作是保证工程质量和防火安全的重要环节，各级建设主管部门和相关企业要切实提高政治站位，牢固树立“人民至上、生命至上”的理念，充分认识到加强建筑保温材料进场检测工作的重要性和紧迫性，以高度的责任感和使命感，将各项监管措施落到实处，有效防范和遏制因建筑保温材料质量问题引发的安全事故。</w:t>
      </w:r>
    </w:p>
    <w:p>
      <w:pPr>
        <w:spacing w:line="570" w:lineRule="exact"/>
        <w:ind w:firstLine="640" w:firstLineChars="200"/>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第二部分要求严格落实见证取样检测和送检要求。</w:t>
      </w:r>
      <w:r>
        <w:rPr>
          <w:rFonts w:hint="eastAsia" w:ascii="方正仿宋_GBK" w:hAnsi="方正仿宋_GBK" w:eastAsia="方正仿宋_GBK" w:cs="方正仿宋_GBK"/>
          <w:b/>
          <w:bCs/>
          <w:sz w:val="32"/>
          <w:szCs w:val="32"/>
        </w:rPr>
        <w:t>一是</w:t>
      </w:r>
      <w:r>
        <w:rPr>
          <w:rFonts w:hint="eastAsia" w:ascii="方正仿宋_GBK" w:hAnsi="方正仿宋_GBK" w:eastAsia="方正仿宋_GBK" w:cs="方正仿宋_GBK"/>
          <w:sz w:val="32"/>
          <w:szCs w:val="32"/>
        </w:rPr>
        <w:t>建筑保温材料施工进场后，应对进场保温材料进行见证取样送检，检测项目应包括保温材料的导热系数、密度、燃烧性能等指标。保温材料施工结束，建设、监理、施工单位和检测机构共同对已完工的工程实体保温材料进行抽检，对取样方法和频次做出了规定。经检测达不到要求的建筑保温材料一律不得使用或进行拆除。建设单位应将施工过程中见证取样检测和实体检测的费用列入工程概预算中。</w:t>
      </w:r>
      <w:r>
        <w:rPr>
          <w:rFonts w:hint="eastAsia" w:ascii="方正仿宋_GBK" w:hAnsi="方正仿宋_GBK" w:eastAsia="方正仿宋_GBK" w:cs="方正仿宋_GBK"/>
          <w:b/>
          <w:bCs/>
          <w:sz w:val="32"/>
          <w:szCs w:val="32"/>
        </w:rPr>
        <w:t>二是</w:t>
      </w:r>
      <w:r>
        <w:rPr>
          <w:rFonts w:hint="eastAsia" w:ascii="方正仿宋_GBK" w:hAnsi="方正仿宋_GBK" w:eastAsia="方正仿宋_GBK" w:cs="方正仿宋_GBK"/>
          <w:sz w:val="32"/>
          <w:szCs w:val="32"/>
        </w:rPr>
        <w:t>要求施工人员在建设单位和监理单位见证人员的监督下现场取样，取样应保证随机性和代表性，样品应具备清晰的、不易脱落的唯一性标识、封志。见证人员在取样地点设置标识牌并举牌拍照作为工程资料存档。见证人员应对见证过程拍摄影像记录保存，保证取样过程真实、可追溯。对于重点工程项目，推动检测机构到施工现场取样。</w:t>
      </w:r>
    </w:p>
    <w:p>
      <w:pPr>
        <w:spacing w:line="570" w:lineRule="exact"/>
        <w:ind w:firstLine="640" w:firstLineChars="200"/>
        <w:rPr>
          <w:rFonts w:hint="eastAsia" w:ascii="方正仿宋_GBK" w:hAnsi="方正仿宋_GBK" w:eastAsia="方正仿宋_GBK" w:cs="方正仿宋_GBK"/>
          <w:sz w:val="32"/>
          <w:szCs w:val="32"/>
        </w:rPr>
      </w:pPr>
      <w:r>
        <w:rPr>
          <w:rFonts w:hint="eastAsia" w:ascii="方正楷体_GBK" w:hAnsi="方正楷体_GBK" w:eastAsia="方正楷体_GBK" w:cs="方正楷体_GBK"/>
          <w:sz w:val="32"/>
          <w:szCs w:val="32"/>
        </w:rPr>
        <w:t>第三部分要求工程质量检测机构要切实规范检测行为。</w:t>
      </w:r>
      <w:r>
        <w:rPr>
          <w:rFonts w:hint="eastAsia" w:ascii="方正仿宋_GBK" w:hAnsi="方正仿宋_GBK" w:eastAsia="方正仿宋_GBK" w:cs="方正仿宋_GBK"/>
          <w:sz w:val="32"/>
          <w:szCs w:val="32"/>
        </w:rPr>
        <w:t>建设单位应委托具有相应资质的检测单位按照规定对建筑保温材料进行检测。检测机构接收检测试样时，确认取样、见证人员同时到场，核实身份无误后，方可办理接样手续。检测机构应对试样状况、标识、封志等符合性进行检查，确认无误后方可接样检测。检测机构应在其资质范围内严格按照相关技术标准进行检测，对检测数据和检测报告的真实性、准确性负责。</w:t>
      </w:r>
    </w:p>
    <w:p>
      <w:pPr>
        <w:spacing w:line="570" w:lineRule="exact"/>
        <w:ind w:firstLine="640" w:firstLineChars="200"/>
        <w:rPr>
          <w:rFonts w:hint="eastAsia" w:ascii="方正楷体_GBK" w:hAnsi="方正楷体_GBK" w:eastAsia="方正楷体_GBK" w:cs="方正楷体_GBK"/>
          <w:sz w:val="32"/>
          <w:szCs w:val="32"/>
        </w:rPr>
      </w:pPr>
      <w:r>
        <w:rPr>
          <w:rFonts w:hint="eastAsia" w:ascii="方正楷体_GBK" w:hAnsi="方正楷体_GBK" w:eastAsia="方正楷体_GBK" w:cs="方正楷体_GBK"/>
          <w:sz w:val="32"/>
          <w:szCs w:val="32"/>
        </w:rPr>
        <w:t>第四部分要求持续加大建筑保温材料检测监管力度。</w:t>
      </w:r>
      <w:r>
        <w:rPr>
          <w:rFonts w:hint="eastAsia" w:ascii="方正仿宋_GBK" w:hAnsi="方正仿宋_GBK" w:eastAsia="方正仿宋_GBK" w:cs="方正仿宋_GBK"/>
          <w:sz w:val="32"/>
          <w:szCs w:val="32"/>
        </w:rPr>
        <w:t>各级建设主管部门要加大建筑保温材料检测监督检查力度，重点检查见证取样送检的规范性，检测原始记录和报告的真实性、准确性，要加大保温材料工程实体抽检抽测力度。对施工、监理（建设）单位虚假见证取样送检，检测机构出具虚假报告、不实结论，冒用其他检验检测机构名义出具报告等严重违法违规行为，要依法依规严肃查处并曝光。</w:t>
      </w:r>
    </w:p>
    <w:p>
      <w:pPr>
        <w:spacing w:line="570" w:lineRule="exact"/>
        <w:ind w:firstLine="640" w:firstLineChars="200"/>
        <w:rPr>
          <w:rFonts w:hint="eastAsia" w:ascii="方正仿宋_GB2312" w:hAnsi="方正仿宋_GB2312" w:eastAsia="方正黑体_GBK" w:cs="方正仿宋_GB2312"/>
          <w:sz w:val="32"/>
          <w:szCs w:val="32"/>
        </w:rPr>
      </w:pPr>
      <w:r>
        <w:rPr>
          <w:rFonts w:hint="eastAsia" w:ascii="方正黑体_GBK" w:hAnsi="方正黑体_GBK" w:eastAsia="方正黑体_GBK" w:cs="方正黑体_GBK"/>
          <w:sz w:val="32"/>
          <w:szCs w:val="32"/>
        </w:rPr>
        <w:t>四、法律依据和参考文件</w:t>
      </w:r>
    </w:p>
    <w:p>
      <w:pPr>
        <w:spacing w:line="57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法规：《建设工程质量管理条例》</w:t>
      </w:r>
    </w:p>
    <w:p>
      <w:pPr>
        <w:spacing w:line="57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规章：《建设工程质量检测管理办法》（住房和城乡建设部令第57号）《江苏省房屋建筑和市政基础设施工程质量监督管理办法》（省政府第89号令）</w:t>
      </w:r>
    </w:p>
    <w:p>
      <w:pPr>
        <w:spacing w:line="57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文件：《建筑保温材料安全隐患全链条整治行动实施方案》（安委〔2025〕3 号）《省安全生产委员会省消防安全委员会关于印发</w:t>
      </w:r>
      <w:r>
        <w:rPr>
          <w:rFonts w:hint="eastAsia" w:ascii="方正仿宋_GBK" w:hAnsi="方正仿宋_GBK" w:eastAsia="方正仿宋_GBK" w:cs="方正仿宋_GBK"/>
          <w:sz w:val="32"/>
          <w:szCs w:val="32"/>
          <w:lang w:val="en-US" w:eastAsia="zh-CN"/>
        </w:rPr>
        <w:t>&lt;</w:t>
      </w:r>
      <w:r>
        <w:rPr>
          <w:rFonts w:hint="eastAsia" w:ascii="方正仿宋_GBK" w:hAnsi="方正仿宋_GBK" w:eastAsia="方正仿宋_GBK" w:cs="方正仿宋_GBK"/>
          <w:sz w:val="32"/>
          <w:szCs w:val="32"/>
        </w:rPr>
        <w:t>江苏省人员密集场所动火作业安全管理全链条整治行动实施方案</w:t>
      </w:r>
      <w:r>
        <w:rPr>
          <w:rFonts w:hint="eastAsia" w:ascii="方正仿宋_GBK" w:hAnsi="方正仿宋_GBK" w:eastAsia="方正仿宋_GBK" w:cs="方正仿宋_GBK"/>
          <w:sz w:val="32"/>
          <w:szCs w:val="32"/>
          <w:lang w:val="en-US" w:eastAsia="zh-CN"/>
        </w:rPr>
        <w:t>&gt;</w:t>
      </w:r>
      <w:r>
        <w:rPr>
          <w:rFonts w:hint="eastAsia" w:ascii="方正仿宋_GBK" w:hAnsi="方正仿宋_GBK" w:eastAsia="方正仿宋_GBK" w:cs="方正仿宋_GBK"/>
          <w:sz w:val="32"/>
          <w:szCs w:val="32"/>
        </w:rPr>
        <w:t>和</w:t>
      </w:r>
      <w:r>
        <w:rPr>
          <w:rFonts w:hint="eastAsia" w:ascii="方正仿宋_GBK" w:hAnsi="方正仿宋_GBK" w:eastAsia="方正仿宋_GBK" w:cs="方正仿宋_GBK"/>
          <w:sz w:val="32"/>
          <w:szCs w:val="32"/>
          <w:lang w:val="en-US" w:eastAsia="zh-CN"/>
        </w:rPr>
        <w:t>&lt;</w:t>
      </w:r>
      <w:r>
        <w:rPr>
          <w:rFonts w:hint="eastAsia" w:ascii="方正仿宋_GBK" w:hAnsi="方正仿宋_GBK" w:eastAsia="方正仿宋_GBK" w:cs="方正仿宋_GBK"/>
          <w:sz w:val="32"/>
          <w:szCs w:val="32"/>
        </w:rPr>
        <w:t>江苏省建筑保温材料安全隐患全链条整治行动实施方案</w:t>
      </w:r>
      <w:r>
        <w:rPr>
          <w:rFonts w:hint="eastAsia" w:ascii="方正仿宋_GBK" w:hAnsi="方正仿宋_GBK" w:eastAsia="方正仿宋_GBK" w:cs="方正仿宋_GBK"/>
          <w:sz w:val="32"/>
          <w:szCs w:val="32"/>
          <w:lang w:val="en-US" w:eastAsia="zh-CN"/>
        </w:rPr>
        <w:t>&gt;</w:t>
      </w:r>
      <w:r>
        <w:rPr>
          <w:rFonts w:hint="eastAsia" w:ascii="方正仿宋_GBK" w:hAnsi="方正仿宋_GBK" w:eastAsia="方正仿宋_GBK" w:cs="方正仿宋_GBK"/>
          <w:sz w:val="32"/>
          <w:szCs w:val="32"/>
        </w:rPr>
        <w:t>的通知》（苏安〔2025〕2号）《关于印发</w:t>
      </w:r>
      <w:r>
        <w:rPr>
          <w:rFonts w:hint="eastAsia" w:ascii="方正仿宋_GBK" w:hAnsi="方正仿宋_GBK" w:eastAsia="方正仿宋_GBK" w:cs="方正仿宋_GBK"/>
          <w:sz w:val="32"/>
          <w:szCs w:val="32"/>
          <w:lang w:val="en-US" w:eastAsia="zh-CN"/>
        </w:rPr>
        <w:t>&lt;</w:t>
      </w:r>
      <w:r>
        <w:rPr>
          <w:rFonts w:hint="eastAsia" w:ascii="方正仿宋_GBK" w:hAnsi="方正仿宋_GBK" w:eastAsia="方正仿宋_GBK" w:cs="方正仿宋_GBK"/>
          <w:sz w:val="32"/>
          <w:szCs w:val="32"/>
        </w:rPr>
        <w:t>江苏省建设工程质量检测管理实施细则</w:t>
      </w:r>
      <w:r>
        <w:rPr>
          <w:rFonts w:hint="eastAsia" w:ascii="方正仿宋_GBK" w:hAnsi="方正仿宋_GBK" w:eastAsia="方正仿宋_GBK" w:cs="方正仿宋_GBK"/>
          <w:sz w:val="32"/>
          <w:szCs w:val="32"/>
          <w:lang w:val="en-US" w:eastAsia="zh-CN"/>
        </w:rPr>
        <w:t>&gt;</w:t>
      </w:r>
      <w:r>
        <w:rPr>
          <w:rFonts w:hint="eastAsia" w:ascii="方正仿宋_GBK" w:hAnsi="方正仿宋_GBK" w:eastAsia="方正仿宋_GBK" w:cs="方正仿宋_GBK"/>
          <w:sz w:val="32"/>
          <w:szCs w:val="32"/>
        </w:rPr>
        <w:t>的通知》（苏建规字〔2025〕1号）和《房屋建筑工程和市政基础设施工程实行见证取样和送检的规定》（建建〔20</w:t>
      </w:r>
      <w:r>
        <w:rPr>
          <w:rFonts w:hint="default" w:ascii="方正仿宋_GBK" w:hAnsi="方正仿宋_GBK" w:eastAsia="方正仿宋_GBK" w:cs="方正仿宋_GBK"/>
          <w:sz w:val="32"/>
          <w:szCs w:val="32"/>
          <w:lang w:val="en"/>
        </w:rPr>
        <w:t>0</w:t>
      </w:r>
      <w:r>
        <w:rPr>
          <w:rFonts w:hint="eastAsia" w:ascii="方正仿宋_GBK" w:hAnsi="方正仿宋_GBK" w:eastAsia="方正仿宋_GBK" w:cs="方正仿宋_GBK"/>
          <w:sz w:val="32"/>
          <w:szCs w:val="32"/>
        </w:rPr>
        <w:t>0〕211号）</w:t>
      </w:r>
      <w:bookmarkStart w:id="0" w:name="_GoBack"/>
      <w:bookmarkEnd w:id="0"/>
    </w:p>
    <w:p>
      <w:pPr>
        <w:spacing w:line="570" w:lineRule="exact"/>
        <w:rPr>
          <w:rFonts w:hint="eastAsia" w:ascii="方正仿宋_GBK" w:hAnsi="方正仿宋_GBK" w:eastAsia="方正仿宋_GBK" w:cs="方正仿宋_GBK"/>
          <w:sz w:val="32"/>
          <w:szCs w:val="32"/>
        </w:rPr>
      </w:pPr>
    </w:p>
    <w:sectPr>
      <w:footerReference r:id="rId3" w:type="default"/>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国标宋体-超大字符集"/>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
    <w:panose1 w:val="05050102010706020507"/>
    <w:charset w:val="02"/>
    <w:family w:val="roman"/>
    <w:pitch w:val="default"/>
    <w:sig w:usb0="00000000" w:usb1="00000000" w:usb2="00000000" w:usb3="00000000" w:csb0="80000000"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Calibri">
    <w:altName w:val="DejaVu Sans"/>
    <w:panose1 w:val="020F0502020204030204"/>
    <w:charset w:val="00"/>
    <w:family w:val="swiss"/>
    <w:pitch w:val="default"/>
    <w:sig w:usb0="00000000" w:usb1="00000000" w:usb2="00000001" w:usb3="00000000" w:csb0="2000019F" w:csb1="00000000"/>
  </w:font>
  <w:font w:name="方正仿宋_GB2312">
    <w:altName w:val="方正仿宋_GBK"/>
    <w:panose1 w:val="00000000000000000000"/>
    <w:charset w:val="86"/>
    <w:family w:val="auto"/>
    <w:pitch w:val="default"/>
    <w:sig w:usb0="00000000" w:usb1="00000000" w:usb2="00000012" w:usb3="00000000" w:csb0="00040001" w:csb1="00000000"/>
  </w:font>
  <w:font w:name="方正书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BYAAABkcnMvUEsBAhQAFAAAAAgAh07iQLNJ&#10;WO7QAAAABQEAAA8AAAAAAAAAAQAgAAAAOAAAAGRycy9kb3ducmV2LnhtbFBLAQIUABQAAAAIAIdO&#10;4kCgF26zFQIAABkEAAAOAAAAAAAAAAEAIAAAADUBAABkcnMvZTJvRG9jLnhtbFBLBQYAAAAABgAG&#10;AFkBAAC8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true"/>
  <w:bordersDoNotSurroundFooter w:val="true"/>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U5MDhjMGZlNzhmMjkzMjZjODMwN2QxOThiODllNzIifQ=="/>
  </w:docVars>
  <w:rsids>
    <w:rsidRoot w:val="055D7849"/>
    <w:rsid w:val="00003FB4"/>
    <w:rsid w:val="000054CB"/>
    <w:rsid w:val="00061406"/>
    <w:rsid w:val="000767F2"/>
    <w:rsid w:val="000944B0"/>
    <w:rsid w:val="00165ED6"/>
    <w:rsid w:val="001C12F5"/>
    <w:rsid w:val="00203D4F"/>
    <w:rsid w:val="00331129"/>
    <w:rsid w:val="0037096F"/>
    <w:rsid w:val="00396BE5"/>
    <w:rsid w:val="003A3291"/>
    <w:rsid w:val="003D1184"/>
    <w:rsid w:val="0040418B"/>
    <w:rsid w:val="0044402C"/>
    <w:rsid w:val="004D4253"/>
    <w:rsid w:val="004E23D2"/>
    <w:rsid w:val="004F2099"/>
    <w:rsid w:val="004F219C"/>
    <w:rsid w:val="0053521E"/>
    <w:rsid w:val="00570226"/>
    <w:rsid w:val="005A1B83"/>
    <w:rsid w:val="00696CF6"/>
    <w:rsid w:val="006B3A2F"/>
    <w:rsid w:val="006E4119"/>
    <w:rsid w:val="006F6DF4"/>
    <w:rsid w:val="0074742A"/>
    <w:rsid w:val="00782064"/>
    <w:rsid w:val="007D19CF"/>
    <w:rsid w:val="007D2C31"/>
    <w:rsid w:val="007E7B9E"/>
    <w:rsid w:val="00891351"/>
    <w:rsid w:val="008E3053"/>
    <w:rsid w:val="008F5B40"/>
    <w:rsid w:val="00962000"/>
    <w:rsid w:val="009A259A"/>
    <w:rsid w:val="00AC4185"/>
    <w:rsid w:val="00AD131E"/>
    <w:rsid w:val="00AE3146"/>
    <w:rsid w:val="00B176C8"/>
    <w:rsid w:val="00B370B8"/>
    <w:rsid w:val="00BA4577"/>
    <w:rsid w:val="00C0273D"/>
    <w:rsid w:val="00CC4F15"/>
    <w:rsid w:val="00D05604"/>
    <w:rsid w:val="00D70AAE"/>
    <w:rsid w:val="00E15258"/>
    <w:rsid w:val="00ED746D"/>
    <w:rsid w:val="00FB50CE"/>
    <w:rsid w:val="00FC2310"/>
    <w:rsid w:val="00FD3B18"/>
    <w:rsid w:val="01540AED"/>
    <w:rsid w:val="01891193"/>
    <w:rsid w:val="04D5284C"/>
    <w:rsid w:val="054135B3"/>
    <w:rsid w:val="055D7849"/>
    <w:rsid w:val="07695255"/>
    <w:rsid w:val="0A73214A"/>
    <w:rsid w:val="0B907F82"/>
    <w:rsid w:val="0EE3130A"/>
    <w:rsid w:val="0F8B4CE8"/>
    <w:rsid w:val="10E775F4"/>
    <w:rsid w:val="10FD15ED"/>
    <w:rsid w:val="11422AFB"/>
    <w:rsid w:val="137942A3"/>
    <w:rsid w:val="143376FC"/>
    <w:rsid w:val="15762C82"/>
    <w:rsid w:val="15F30233"/>
    <w:rsid w:val="160D7033"/>
    <w:rsid w:val="16E7088E"/>
    <w:rsid w:val="182061EA"/>
    <w:rsid w:val="18DA0155"/>
    <w:rsid w:val="1D4F344F"/>
    <w:rsid w:val="1D5F1C6B"/>
    <w:rsid w:val="21863561"/>
    <w:rsid w:val="23045826"/>
    <w:rsid w:val="24EB7672"/>
    <w:rsid w:val="25E71D3E"/>
    <w:rsid w:val="284272BF"/>
    <w:rsid w:val="28E94FE3"/>
    <w:rsid w:val="2A446B06"/>
    <w:rsid w:val="2CA32B27"/>
    <w:rsid w:val="2D144EA8"/>
    <w:rsid w:val="2DAC0F76"/>
    <w:rsid w:val="2FD401EC"/>
    <w:rsid w:val="300A115E"/>
    <w:rsid w:val="3100445B"/>
    <w:rsid w:val="35B65F83"/>
    <w:rsid w:val="368452B5"/>
    <w:rsid w:val="376F7A7E"/>
    <w:rsid w:val="38416B2A"/>
    <w:rsid w:val="3BB134AE"/>
    <w:rsid w:val="3C1C4D96"/>
    <w:rsid w:val="3C507802"/>
    <w:rsid w:val="3CC46CF0"/>
    <w:rsid w:val="3D192004"/>
    <w:rsid w:val="3DA8263A"/>
    <w:rsid w:val="3DC77A10"/>
    <w:rsid w:val="3DFA620E"/>
    <w:rsid w:val="3FD765CA"/>
    <w:rsid w:val="3FF31255"/>
    <w:rsid w:val="40C65753"/>
    <w:rsid w:val="41711FF1"/>
    <w:rsid w:val="421A1A4F"/>
    <w:rsid w:val="44065F2E"/>
    <w:rsid w:val="444F2CA9"/>
    <w:rsid w:val="451C0790"/>
    <w:rsid w:val="45962CB6"/>
    <w:rsid w:val="47504F42"/>
    <w:rsid w:val="4A5B22DB"/>
    <w:rsid w:val="4AB4661C"/>
    <w:rsid w:val="4B0A7190"/>
    <w:rsid w:val="4BF963BB"/>
    <w:rsid w:val="4CFB4BA1"/>
    <w:rsid w:val="4D1C062B"/>
    <w:rsid w:val="4E70455F"/>
    <w:rsid w:val="4F4C3761"/>
    <w:rsid w:val="50811214"/>
    <w:rsid w:val="51980FFD"/>
    <w:rsid w:val="51F839F8"/>
    <w:rsid w:val="54D96C6E"/>
    <w:rsid w:val="55272647"/>
    <w:rsid w:val="55F84612"/>
    <w:rsid w:val="57A629F4"/>
    <w:rsid w:val="57FB7AFE"/>
    <w:rsid w:val="594829B3"/>
    <w:rsid w:val="5B0E6B0E"/>
    <w:rsid w:val="5D5346A9"/>
    <w:rsid w:val="5D9D7BB3"/>
    <w:rsid w:val="5DED35E7"/>
    <w:rsid w:val="5F9A19AB"/>
    <w:rsid w:val="5FF16C58"/>
    <w:rsid w:val="612352CD"/>
    <w:rsid w:val="62B67BCA"/>
    <w:rsid w:val="63DD630A"/>
    <w:rsid w:val="6778425B"/>
    <w:rsid w:val="67F84D64"/>
    <w:rsid w:val="68DF5DEE"/>
    <w:rsid w:val="6A056761"/>
    <w:rsid w:val="6FFF4B9D"/>
    <w:rsid w:val="714615F3"/>
    <w:rsid w:val="71604D40"/>
    <w:rsid w:val="722E71F3"/>
    <w:rsid w:val="73D75019"/>
    <w:rsid w:val="74733C64"/>
    <w:rsid w:val="74934BD5"/>
    <w:rsid w:val="74FF64CB"/>
    <w:rsid w:val="754C32EF"/>
    <w:rsid w:val="762150A3"/>
    <w:rsid w:val="7709672A"/>
    <w:rsid w:val="79830A68"/>
    <w:rsid w:val="7B9D7484"/>
    <w:rsid w:val="7B9F23CB"/>
    <w:rsid w:val="7DA24719"/>
    <w:rsid w:val="7E40537B"/>
    <w:rsid w:val="7E681432"/>
    <w:rsid w:val="F77F19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Body Text"/>
    <w:basedOn w:val="1"/>
    <w:next w:val="1"/>
    <w:qFormat/>
    <w:uiPriority w:val="0"/>
    <w:pPr>
      <w:spacing w:after="120"/>
    </w:pPr>
    <w:rPr>
      <w:rFonts w:ascii="Calibri" w:hAnsi="Calibri"/>
    </w:rPr>
  </w:style>
  <w:style w:type="paragraph" w:styleId="3">
    <w:name w:val="footer"/>
    <w:basedOn w:val="1"/>
    <w:link w:val="12"/>
    <w:qFormat/>
    <w:uiPriority w:val="0"/>
    <w:pPr>
      <w:tabs>
        <w:tab w:val="center" w:pos="4153"/>
        <w:tab w:val="right" w:pos="8306"/>
      </w:tabs>
      <w:snapToGrid w:val="0"/>
      <w:jc w:val="left"/>
    </w:pPr>
    <w:rPr>
      <w:sz w:val="18"/>
      <w:szCs w:val="18"/>
    </w:rPr>
  </w:style>
  <w:style w:type="paragraph" w:styleId="4">
    <w:name w:val="header"/>
    <w:basedOn w:val="1"/>
    <w:link w:val="11"/>
    <w:qFormat/>
    <w:uiPriority w:val="0"/>
    <w:pPr>
      <w:tabs>
        <w:tab w:val="center" w:pos="4153"/>
        <w:tab w:val="right" w:pos="8306"/>
      </w:tabs>
      <w:snapToGrid w:val="0"/>
      <w:jc w:val="center"/>
    </w:pPr>
    <w:rPr>
      <w:sz w:val="18"/>
      <w:szCs w:val="18"/>
    </w:rPr>
  </w:style>
  <w:style w:type="paragraph" w:styleId="5">
    <w:name w:val="Normal (Web)"/>
    <w:basedOn w:val="1"/>
    <w:semiHidden/>
    <w:qFormat/>
    <w:uiPriority w:val="0"/>
    <w:pPr>
      <w:widowControl/>
      <w:spacing w:before="100" w:beforeAutospacing="1" w:after="100" w:afterAutospacing="1"/>
      <w:jc w:val="left"/>
    </w:pPr>
    <w:rPr>
      <w:rFonts w:ascii="宋体" w:hAnsi="宋体"/>
      <w:kern w:val="0"/>
      <w:sz w:val="24"/>
    </w:rPr>
  </w:style>
  <w:style w:type="character" w:styleId="8">
    <w:name w:val="Strong"/>
    <w:basedOn w:val="7"/>
    <w:qFormat/>
    <w:uiPriority w:val="0"/>
    <w:rPr>
      <w:b/>
    </w:rPr>
  </w:style>
  <w:style w:type="paragraph" w:customStyle="1" w:styleId="9">
    <w:name w:val="Index8"/>
    <w:basedOn w:val="1"/>
    <w:next w:val="1"/>
    <w:qFormat/>
    <w:uiPriority w:val="0"/>
    <w:pPr>
      <w:ind w:left="2940"/>
      <w:jc w:val="center"/>
      <w:textAlignment w:val="baseline"/>
    </w:pPr>
    <w:rPr>
      <w:szCs w:val="21"/>
    </w:rPr>
  </w:style>
  <w:style w:type="paragraph" w:customStyle="1" w:styleId="10">
    <w:name w:val="正文文本缩进 21"/>
    <w:basedOn w:val="1"/>
    <w:qFormat/>
    <w:uiPriority w:val="0"/>
    <w:pPr>
      <w:spacing w:after="120" w:line="480" w:lineRule="auto"/>
      <w:ind w:left="200" w:leftChars="200"/>
    </w:pPr>
  </w:style>
  <w:style w:type="character" w:customStyle="1" w:styleId="11">
    <w:name w:val="页眉 字符"/>
    <w:basedOn w:val="7"/>
    <w:link w:val="4"/>
    <w:qFormat/>
    <w:uiPriority w:val="0"/>
    <w:rPr>
      <w:kern w:val="2"/>
      <w:sz w:val="18"/>
      <w:szCs w:val="18"/>
    </w:rPr>
  </w:style>
  <w:style w:type="character" w:customStyle="1" w:styleId="12">
    <w:name w:val="页脚 字符"/>
    <w:basedOn w:val="7"/>
    <w:link w:val="3"/>
    <w:qFormat/>
    <w:uiPriority w:val="0"/>
    <w:rPr>
      <w:kern w:val="2"/>
      <w:sz w:val="18"/>
      <w:szCs w:val="18"/>
    </w:rPr>
  </w:style>
  <w:style w:type="paragraph" w:customStyle="1" w:styleId="13">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14">
    <w:name w:val="修订2"/>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873</Words>
  <Characters>892</Characters>
  <Lines>38</Lines>
  <Paragraphs>16</Paragraphs>
  <TotalTime>0</TotalTime>
  <ScaleCrop>false</ScaleCrop>
  <LinksUpToDate>false</LinksUpToDate>
  <CharactersWithSpaces>1749</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2023-11-10T22:10:00Z</dcterms:created>
  <dc:creator>施赤文</dc:creator>
  <cp:lastModifiedBy>kylin</cp:lastModifiedBy>
  <cp:lastPrinted>2025-03-14T01:27:00Z</cp:lastPrinted>
  <dcterms:modified xsi:type="dcterms:W3CDTF">2025-07-31T11:11:08Z</dcterms:modified>
  <dc:title>关于《关于进一步加强建筑保温材料进场检测管理工作的通知》的起草说明</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C3420628D72F4E65864B2F5E9091F982_13</vt:lpwstr>
  </property>
  <property fmtid="{D5CDD505-2E9C-101B-9397-08002B2CF9AE}" pid="4" name="KSOTemplateDocerSaveRecord">
    <vt:lpwstr>eyJoZGlkIjoiNTU5MDhjMGZlNzhmMjkzMjZjODMwN2QxOThiODllNzIiLCJ1c2VySWQiOiIzNjgyOTA1MDcifQ==</vt:lpwstr>
  </property>
</Properties>
</file>