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7F89DE">
      <w:pPr>
        <w:widowControl/>
        <w:kinsoku w:val="0"/>
        <w:autoSpaceDE w:val="0"/>
        <w:autoSpaceDN w:val="0"/>
        <w:adjustRightInd w:val="0"/>
        <w:spacing w:line="570" w:lineRule="exact"/>
        <w:textAlignment w:val="baseline"/>
        <w:rPr>
          <w:rFonts w:ascii="Times New Roman" w:hAnsi="Times New Roman" w:eastAsia="方正小标宋_GBK"/>
          <w:sz w:val="44"/>
          <w:szCs w:val="44"/>
        </w:rPr>
      </w:pPr>
    </w:p>
    <w:p w14:paraId="0E96F9E9">
      <w:pPr>
        <w:widowControl/>
        <w:kinsoku w:val="0"/>
        <w:autoSpaceDE w:val="0"/>
        <w:autoSpaceDN w:val="0"/>
        <w:adjustRightInd w:val="0"/>
        <w:spacing w:line="570" w:lineRule="exact"/>
        <w:jc w:val="center"/>
        <w:textAlignment w:val="baseline"/>
        <w:rPr>
          <w:rFonts w:ascii="Times New Roman" w:hAnsi="Times New Roman" w:eastAsia="方正小标宋_GBK"/>
          <w:sz w:val="44"/>
          <w:szCs w:val="44"/>
          <w:lang w:bidi="ar"/>
        </w:rPr>
      </w:pPr>
      <w:r>
        <w:rPr>
          <w:rFonts w:hint="eastAsia" w:ascii="Times New Roman" w:hAnsi="Times New Roman" w:eastAsia="方正小标宋_GBK"/>
          <w:sz w:val="44"/>
          <w:szCs w:val="44"/>
        </w:rPr>
        <w:t>《</w:t>
      </w:r>
      <w:r>
        <w:rPr>
          <w:rFonts w:hint="eastAsia" w:ascii="Times New Roman" w:hAnsi="Times New Roman" w:eastAsia="方正小标宋_GBK"/>
          <w:sz w:val="44"/>
          <w:szCs w:val="44"/>
          <w:lang w:bidi="ar"/>
        </w:rPr>
        <w:t>江苏省建设工程消防审验技术服务从业</w:t>
      </w:r>
    </w:p>
    <w:p w14:paraId="5795AA68">
      <w:pPr>
        <w:widowControl/>
        <w:kinsoku w:val="0"/>
        <w:autoSpaceDE w:val="0"/>
        <w:autoSpaceDN w:val="0"/>
        <w:adjustRightInd w:val="0"/>
        <w:spacing w:line="570" w:lineRule="exact"/>
        <w:jc w:val="center"/>
        <w:textAlignment w:val="baseline"/>
        <w:rPr>
          <w:rFonts w:hint="eastAsia" w:ascii="Times New Roman" w:hAnsi="Times New Roman" w:eastAsia="方正小标宋_GBK"/>
          <w:sz w:val="44"/>
          <w:szCs w:val="44"/>
          <w:lang w:eastAsia="zh-CN" w:bidi="ar"/>
        </w:rPr>
      </w:pPr>
      <w:r>
        <w:rPr>
          <w:rFonts w:hint="eastAsia" w:ascii="Times New Roman" w:hAnsi="Times New Roman" w:eastAsia="方正小标宋_GBK"/>
          <w:sz w:val="44"/>
          <w:szCs w:val="44"/>
          <w:lang w:bidi="ar"/>
        </w:rPr>
        <w:t>人员信用管理办法</w:t>
      </w:r>
      <w:r>
        <w:rPr>
          <w:rFonts w:hint="eastAsia" w:ascii="Times New Roman" w:hAnsi="Times New Roman" w:eastAsia="方正小标宋_GBK"/>
          <w:sz w:val="44"/>
          <w:szCs w:val="44"/>
        </w:rPr>
        <w:t>》起草</w:t>
      </w:r>
      <w:r>
        <w:rPr>
          <w:rFonts w:hint="eastAsia" w:ascii="Times New Roman" w:hAnsi="Times New Roman" w:eastAsia="方正小标宋_GBK"/>
          <w:sz w:val="44"/>
          <w:szCs w:val="44"/>
          <w:lang w:val="en-US" w:eastAsia="zh-CN"/>
        </w:rPr>
        <w:t>说明</w:t>
      </w:r>
      <w:bookmarkStart w:id="2" w:name="_GoBack"/>
      <w:bookmarkEnd w:id="2"/>
    </w:p>
    <w:p w14:paraId="32F06457">
      <w:pPr>
        <w:spacing w:line="570" w:lineRule="exact"/>
        <w:jc w:val="center"/>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省住房和城乡建设厅</w:t>
      </w:r>
    </w:p>
    <w:p w14:paraId="784DEFEA">
      <w:pPr>
        <w:spacing w:line="570" w:lineRule="exact"/>
        <w:jc w:val="center"/>
        <w:rPr>
          <w:rFonts w:ascii="Times New Roman" w:hAnsi="Times New Roman" w:eastAsia="方正楷体_GBK" w:cs="方正楷体_GBK"/>
          <w:sz w:val="32"/>
          <w:szCs w:val="32"/>
        </w:rPr>
      </w:pPr>
      <w:r>
        <w:rPr>
          <w:rFonts w:hint="eastAsia" w:ascii="Times New Roman" w:hAnsi="Times New Roman" w:eastAsia="方正楷体_GBK" w:cs="方正楷体_GBK"/>
          <w:sz w:val="32"/>
          <w:szCs w:val="32"/>
        </w:rPr>
        <w:t>（</w:t>
      </w:r>
      <w:r>
        <w:rPr>
          <w:rFonts w:ascii="Times New Roman" w:hAnsi="Times New Roman" w:eastAsia="方正楷体_GBK"/>
          <w:sz w:val="32"/>
          <w:szCs w:val="32"/>
        </w:rPr>
        <w:t>202</w:t>
      </w:r>
      <w:r>
        <w:rPr>
          <w:rFonts w:hint="eastAsia" w:ascii="Times New Roman" w:hAnsi="Times New Roman" w:eastAsia="方正楷体_GBK"/>
          <w:sz w:val="32"/>
          <w:szCs w:val="32"/>
        </w:rPr>
        <w:t>5</w:t>
      </w:r>
      <w:r>
        <w:rPr>
          <w:rFonts w:hint="eastAsia" w:ascii="Times New Roman" w:hAnsi="Times New Roman" w:eastAsia="方正楷体_GBK" w:cs="方正楷体_GBK"/>
          <w:sz w:val="32"/>
          <w:szCs w:val="32"/>
        </w:rPr>
        <w:t>年</w:t>
      </w:r>
      <w:r>
        <w:rPr>
          <w:rFonts w:ascii="Times New Roman" w:hAnsi="Times New Roman" w:eastAsia="方正楷体_GBK"/>
          <w:sz w:val="32"/>
          <w:szCs w:val="32"/>
        </w:rPr>
        <w:t>1</w:t>
      </w:r>
      <w:r>
        <w:rPr>
          <w:rFonts w:hint="eastAsia" w:ascii="Times New Roman" w:hAnsi="Times New Roman" w:eastAsia="方正楷体_GBK"/>
          <w:sz w:val="32"/>
          <w:szCs w:val="32"/>
          <w:lang w:val="en-US" w:eastAsia="zh-CN"/>
        </w:rPr>
        <w:t>2</w:t>
      </w:r>
      <w:r>
        <w:rPr>
          <w:rFonts w:hint="eastAsia" w:ascii="Times New Roman" w:hAnsi="Times New Roman" w:eastAsia="方正楷体_GBK" w:cs="方正楷体_GBK"/>
          <w:sz w:val="32"/>
          <w:szCs w:val="32"/>
        </w:rPr>
        <w:t>月</w:t>
      </w:r>
      <w:r>
        <w:rPr>
          <w:rFonts w:hint="eastAsia" w:ascii="Times New Roman" w:hAnsi="Times New Roman" w:eastAsia="方正楷体_GBK" w:cs="方正楷体_GBK"/>
          <w:sz w:val="32"/>
          <w:szCs w:val="32"/>
          <w:lang w:val="en-US" w:eastAsia="zh-CN"/>
        </w:rPr>
        <w:t>24日</w:t>
      </w:r>
      <w:r>
        <w:rPr>
          <w:rFonts w:hint="eastAsia" w:ascii="Times New Roman" w:hAnsi="Times New Roman" w:eastAsia="方正楷体_GBK" w:cs="方正楷体_GBK"/>
          <w:sz w:val="32"/>
          <w:szCs w:val="32"/>
        </w:rPr>
        <w:t>）</w:t>
      </w:r>
    </w:p>
    <w:p w14:paraId="01F106FD">
      <w:pPr>
        <w:autoSpaceDE w:val="0"/>
        <w:autoSpaceDN w:val="0"/>
        <w:snapToGrid w:val="0"/>
        <w:spacing w:line="570" w:lineRule="exact"/>
        <w:ind w:firstLine="640" w:firstLineChars="200"/>
        <w:rPr>
          <w:rFonts w:ascii="Times New Roman" w:hAnsi="Times New Roman" w:eastAsia="方正仿宋_GBK" w:cs="仿宋_GB2312"/>
          <w:kern w:val="0"/>
          <w:sz w:val="32"/>
          <w:szCs w:val="32"/>
        </w:rPr>
      </w:pPr>
    </w:p>
    <w:p w14:paraId="5A4C5404">
      <w:pPr>
        <w:autoSpaceDE w:val="0"/>
        <w:spacing w:line="570" w:lineRule="exact"/>
        <w:ind w:firstLine="640" w:firstLineChars="200"/>
        <w:rPr>
          <w:rFonts w:hint="eastAsia" w:ascii="方正仿宋_GBK" w:hAnsi="Times New Roman" w:eastAsia="方正仿宋_GBK"/>
          <w:sz w:val="32"/>
          <w:szCs w:val="32"/>
        </w:rPr>
      </w:pPr>
      <w:r>
        <w:rPr>
          <w:rFonts w:hint="eastAsia" w:ascii="方正仿宋_GBK" w:hAnsi="Times New Roman" w:eastAsia="方正仿宋_GBK"/>
          <w:sz w:val="32"/>
          <w:szCs w:val="32"/>
          <w:lang w:val="en-US" w:eastAsia="zh-CN"/>
        </w:rPr>
        <w:t>为</w:t>
      </w:r>
      <w:r>
        <w:rPr>
          <w:rFonts w:hint="eastAsia" w:ascii="方正仿宋_GBK" w:hAnsi="Times New Roman" w:eastAsia="方正仿宋_GBK"/>
          <w:sz w:val="32"/>
          <w:szCs w:val="32"/>
        </w:rPr>
        <w:t>进一步规范建设工程消防审验技术服务从业人员行为</w:t>
      </w:r>
      <w:r>
        <w:rPr>
          <w:rFonts w:hint="eastAsia" w:ascii="方正仿宋_GBK" w:hAnsi="Times New Roman" w:eastAsia="方正仿宋_GBK" w:cs="Times New Roman"/>
          <w:sz w:val="32"/>
          <w:szCs w:val="36"/>
        </w:rPr>
        <w:t>，充分发挥信用监管的激励和约束作用，</w:t>
      </w:r>
      <w:r>
        <w:rPr>
          <w:rFonts w:hint="eastAsia" w:ascii="方正仿宋_GBK" w:hAnsi="Times New Roman" w:eastAsia="方正仿宋_GBK" w:cs="Times New Roman"/>
          <w:sz w:val="32"/>
          <w:szCs w:val="32"/>
        </w:rPr>
        <w:t>营造诚信守法、公平竞争的市场环境，</w:t>
      </w:r>
      <w:r>
        <w:rPr>
          <w:rFonts w:hint="eastAsia" w:ascii="方正仿宋_GBK" w:hAnsi="Times New Roman" w:eastAsia="方正仿宋_GBK" w:cs="Times New Roman"/>
          <w:sz w:val="32"/>
          <w:szCs w:val="36"/>
        </w:rPr>
        <w:t>依据国家、省相关法律法规</w:t>
      </w:r>
      <w:bookmarkStart w:id="0" w:name="_Toc203640514"/>
      <w:bookmarkStart w:id="1" w:name="_Toc202951701"/>
      <w:r>
        <w:rPr>
          <w:rFonts w:hint="eastAsia" w:ascii="方正仿宋_GBK" w:hAnsi="Times New Roman" w:eastAsia="方正仿宋_GBK" w:cs="Times New Roman"/>
          <w:sz w:val="32"/>
          <w:szCs w:val="36"/>
        </w:rPr>
        <w:t>规章和政策文件，</w:t>
      </w:r>
      <w:bookmarkEnd w:id="0"/>
      <w:bookmarkEnd w:id="1"/>
      <w:r>
        <w:rPr>
          <w:rFonts w:hint="eastAsia" w:ascii="方正仿宋_GBK" w:hAnsi="Times New Roman" w:eastAsia="方正仿宋_GBK"/>
          <w:sz w:val="32"/>
          <w:szCs w:val="32"/>
        </w:rPr>
        <w:t>厅消防处组织起草了《江苏省建设工程消防审验技术服务从业人员信用管理办法》（以下简称《</w:t>
      </w:r>
      <w:r>
        <w:rPr>
          <w:rFonts w:hint="eastAsia" w:ascii="方正仿宋_GBK" w:hAnsi="Times New Roman" w:eastAsia="方正仿宋_GBK"/>
          <w:sz w:val="32"/>
          <w:szCs w:val="32"/>
          <w:lang w:val="en-US" w:eastAsia="zh-CN"/>
        </w:rPr>
        <w:t>信用</w:t>
      </w:r>
      <w:r>
        <w:rPr>
          <w:rFonts w:hint="eastAsia" w:ascii="方正仿宋_GBK" w:hAnsi="Times New Roman" w:eastAsia="方正仿宋_GBK"/>
          <w:sz w:val="32"/>
          <w:szCs w:val="32"/>
        </w:rPr>
        <w:t>管理办法》）。现就</w:t>
      </w:r>
      <w:r>
        <w:rPr>
          <w:rFonts w:hint="eastAsia" w:ascii="方正仿宋_GBK" w:hAnsi="Times New Roman" w:eastAsia="方正仿宋_GBK"/>
          <w:sz w:val="32"/>
          <w:szCs w:val="32"/>
          <w:lang w:val="en-US" w:eastAsia="zh-CN"/>
        </w:rPr>
        <w:t>有关情况</w:t>
      </w:r>
      <w:r>
        <w:rPr>
          <w:rFonts w:hint="eastAsia" w:ascii="方正仿宋_GBK" w:hAnsi="Times New Roman" w:eastAsia="方正仿宋_GBK"/>
          <w:sz w:val="32"/>
          <w:szCs w:val="32"/>
          <w:lang w:eastAsia="zh-CN"/>
        </w:rPr>
        <w:t>报告</w:t>
      </w:r>
      <w:r>
        <w:rPr>
          <w:rFonts w:hint="eastAsia" w:ascii="方正仿宋_GBK" w:hAnsi="Times New Roman" w:eastAsia="方正仿宋_GBK"/>
          <w:sz w:val="32"/>
          <w:szCs w:val="32"/>
        </w:rPr>
        <w:t>如下：</w:t>
      </w:r>
    </w:p>
    <w:p w14:paraId="1B0D8D50">
      <w:pPr>
        <w:numPr>
          <w:ilvl w:val="0"/>
          <w:numId w:val="1"/>
        </w:numPr>
        <w:overflowPunct w:val="0"/>
        <w:spacing w:line="570" w:lineRule="exact"/>
        <w:ind w:firstLine="640" w:firstLineChars="200"/>
        <w:rPr>
          <w:rFonts w:ascii="方正黑体_GBK" w:hAnsi="Times New Roman" w:eastAsia="方正黑体_GBK"/>
          <w:sz w:val="32"/>
          <w:szCs w:val="32"/>
        </w:rPr>
      </w:pPr>
      <w:r>
        <w:rPr>
          <w:rFonts w:hint="eastAsia" w:ascii="方正黑体_GBK" w:hAnsi="Times New Roman" w:eastAsia="方正黑体_GBK"/>
          <w:sz w:val="32"/>
          <w:szCs w:val="32"/>
        </w:rPr>
        <w:t>起草背景</w:t>
      </w:r>
      <w:r>
        <w:rPr>
          <w:rFonts w:hint="eastAsia" w:ascii="方正黑体_GBK" w:hAnsi="Times New Roman" w:eastAsia="方正黑体_GBK"/>
          <w:sz w:val="32"/>
          <w:szCs w:val="32"/>
          <w:lang w:val="en-US" w:eastAsia="zh-CN"/>
        </w:rPr>
        <w:t>与必要性</w:t>
      </w:r>
    </w:p>
    <w:p w14:paraId="73631FDD">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Times New Roman" w:hAnsi="Times New Roman" w:eastAsia="方正仿宋_GBK" w:cs="Times New Roman"/>
          <w:sz w:val="32"/>
          <w:szCs w:val="32"/>
          <w:lang w:val="en-US" w:eastAsia="zh-CN" w:bidi="ar"/>
        </w:rPr>
      </w:pPr>
      <w:r>
        <w:rPr>
          <w:rFonts w:hint="default" w:ascii="Times New Roman" w:hAnsi="Times New Roman" w:eastAsia="方正仿宋_GBK" w:cs="Times New Roman"/>
          <w:sz w:val="32"/>
          <w:szCs w:val="32"/>
        </w:rPr>
        <w:t>2025</w:t>
      </w:r>
      <w:r>
        <w:rPr>
          <w:rFonts w:hint="eastAsia" w:ascii="方正仿宋_GBK" w:hAnsi="方正仿宋_GBK" w:eastAsia="方正仿宋_GBK" w:cs="方正仿宋_GBK"/>
          <w:sz w:val="32"/>
          <w:szCs w:val="32"/>
        </w:rPr>
        <w:t>年</w:t>
      </w:r>
      <w:r>
        <w:rPr>
          <w:rFonts w:hint="eastAsia" w:ascii="Times New Roman" w:hAnsi="Times New Roman" w:eastAsia="方正仿宋_GBK" w:cs="Times New Roman"/>
          <w:sz w:val="32"/>
          <w:szCs w:val="32"/>
        </w:rPr>
        <w:t>5</w:t>
      </w:r>
      <w:r>
        <w:rPr>
          <w:rFonts w:hint="eastAsia" w:ascii="方正仿宋_GBK" w:hAnsi="方正仿宋_GBK" w:eastAsia="方正仿宋_GBK" w:cs="方正仿宋_GBK"/>
          <w:sz w:val="32"/>
          <w:szCs w:val="32"/>
        </w:rPr>
        <w:t>月，我厅出台《江苏省建设工程消防审验技术服务管理办法》</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lang w:val="en-US" w:eastAsia="zh-CN"/>
        </w:rPr>
        <w:t>以下简称《技术服务管理办法》</w:t>
      </w:r>
      <w:r>
        <w:rPr>
          <w:rFonts w:hint="eastAsia" w:ascii="方正仿宋_GBK" w:hAnsi="方正仿宋_GBK" w:eastAsia="方正仿宋_GBK" w:cs="方正仿宋_GBK"/>
          <w:sz w:val="32"/>
          <w:szCs w:val="32"/>
          <w:lang w:eastAsia="zh-CN"/>
        </w:rPr>
        <w:t>）</w:t>
      </w:r>
      <w:r>
        <w:rPr>
          <w:rFonts w:hint="eastAsia" w:ascii="方正仿宋_GBK" w:hAnsi="方正仿宋_GBK" w:eastAsia="方正仿宋_GBK" w:cs="方正仿宋_GBK"/>
          <w:sz w:val="32"/>
          <w:szCs w:val="32"/>
        </w:rPr>
        <w:t>，</w:t>
      </w:r>
      <w:r>
        <w:rPr>
          <w:rFonts w:hint="eastAsia" w:ascii="方正仿宋_GBK" w:hAnsi="方正仿宋_GBK" w:eastAsia="方正仿宋_GBK" w:cs="方正仿宋_GBK"/>
          <w:spacing w:val="0"/>
          <w:kern w:val="2"/>
          <w:sz w:val="32"/>
          <w:szCs w:val="32"/>
          <w:lang w:val="en-US" w:eastAsia="zh-CN" w:bidi="ar"/>
        </w:rPr>
        <w:t>建立“责任工程师</w:t>
      </w:r>
      <w:r>
        <w:rPr>
          <w:rFonts w:hint="default" w:ascii="Times New Roman" w:hAnsi="Times New Roman" w:eastAsia="方正仿宋_GBK" w:cs="Times New Roman"/>
          <w:spacing w:val="0"/>
          <w:kern w:val="2"/>
          <w:sz w:val="32"/>
          <w:szCs w:val="32"/>
          <w:lang w:val="en-US" w:eastAsia="zh-CN" w:bidi="ar"/>
        </w:rPr>
        <w:t>+</w:t>
      </w:r>
      <w:r>
        <w:rPr>
          <w:rFonts w:hint="eastAsia" w:ascii="方正仿宋_GBK" w:hAnsi="方正仿宋_GBK" w:eastAsia="方正仿宋_GBK" w:cs="方正仿宋_GBK"/>
          <w:spacing w:val="0"/>
          <w:kern w:val="2"/>
          <w:sz w:val="32"/>
          <w:szCs w:val="32"/>
          <w:lang w:val="en-US" w:eastAsia="zh-CN" w:bidi="ar"/>
        </w:rPr>
        <w:t>项目团队”的管理模式，推动消防审验技术服务管理</w:t>
      </w:r>
      <w:r>
        <w:rPr>
          <w:rFonts w:hint="eastAsia" w:ascii="方正仿宋_GBK" w:hAnsi="方正仿宋_GBK" w:eastAsia="方正仿宋_GBK" w:cs="方正仿宋_GBK"/>
          <w:kern w:val="2"/>
          <w:sz w:val="32"/>
          <w:szCs w:val="32"/>
          <w:lang w:val="en-US" w:eastAsia="zh-CN" w:bidi="ar"/>
        </w:rPr>
        <w:t>从传统的管机构、管从业条件向管人员、管服务行为的转变，</w:t>
      </w:r>
      <w:r>
        <w:rPr>
          <w:rFonts w:hint="eastAsia" w:ascii="方正仿宋_GBK" w:hAnsi="方正仿宋_GBK" w:eastAsia="方正仿宋_GBK" w:cs="方正仿宋_GBK"/>
          <w:spacing w:val="0"/>
          <w:kern w:val="2"/>
          <w:sz w:val="32"/>
          <w:szCs w:val="32"/>
          <w:lang w:val="en-US" w:eastAsia="zh-CN" w:bidi="ar"/>
        </w:rPr>
        <w:t>探索构建权责清晰、运行高效、风险可控的管理体系。《</w:t>
      </w:r>
      <w:r>
        <w:rPr>
          <w:rFonts w:hint="eastAsia" w:ascii="方正仿宋_GBK" w:hAnsi="方正仿宋_GBK" w:eastAsia="方正仿宋_GBK" w:cs="方正仿宋_GBK"/>
          <w:sz w:val="32"/>
          <w:szCs w:val="32"/>
          <w:lang w:val="en-US" w:eastAsia="zh-CN"/>
        </w:rPr>
        <w:t>技术服务管理</w:t>
      </w:r>
      <w:r>
        <w:rPr>
          <w:rFonts w:hint="eastAsia" w:ascii="方正仿宋_GBK" w:hAnsi="方正仿宋_GBK" w:eastAsia="方正仿宋_GBK" w:cs="方正仿宋_GBK"/>
          <w:kern w:val="2"/>
          <w:sz w:val="32"/>
          <w:szCs w:val="32"/>
          <w:lang w:val="en-US" w:eastAsia="zh-CN" w:bidi="ar"/>
        </w:rPr>
        <w:t>办法</w:t>
      </w:r>
      <w:r>
        <w:rPr>
          <w:rFonts w:hint="eastAsia" w:ascii="方正仿宋_GBK" w:hAnsi="方正仿宋_GBK" w:eastAsia="方正仿宋_GBK" w:cs="方正仿宋_GBK"/>
          <w:spacing w:val="0"/>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印发后，受到社会各界广泛关注，住房城乡建设部对我省改革创新做法给予充分肯定。</w:t>
      </w:r>
      <w:r>
        <w:rPr>
          <w:rFonts w:hint="eastAsia" w:ascii="方正仿宋_GBK" w:hAnsi="方正仿宋_GBK" w:eastAsia="方正仿宋_GBK" w:cs="方正仿宋_GBK"/>
          <w:sz w:val="32"/>
          <w:szCs w:val="32"/>
          <w:lang w:val="en-US" w:eastAsia="zh-CN"/>
        </w:rPr>
        <w:t>依托省房屋安全数字化监管系统</w:t>
      </w:r>
      <w:r>
        <w:rPr>
          <w:rFonts w:hint="eastAsia" w:ascii="方正仿宋_GBK" w:hAnsi="方正仿宋_GBK" w:eastAsia="方正仿宋_GBK" w:cs="方正仿宋_GBK"/>
          <w:spacing w:val="0"/>
          <w:kern w:val="2"/>
          <w:sz w:val="32"/>
          <w:szCs w:val="32"/>
          <w:lang w:val="en-US" w:eastAsia="zh-CN" w:bidi="ar"/>
        </w:rPr>
        <w:t>搭建消防审验技术服务管理平台，实现机构人员动态管理、技术服务全程留痕、主管部门在线监管等功能，</w:t>
      </w:r>
      <w:r>
        <w:rPr>
          <w:rFonts w:hint="eastAsia" w:ascii="方正仿宋_GBK" w:hAnsi="方正仿宋_GBK" w:eastAsia="方正仿宋_GBK" w:cs="方正仿宋_GBK"/>
          <w:sz w:val="32"/>
          <w:szCs w:val="32"/>
          <w:lang w:val="en-US" w:eastAsia="zh-CN"/>
        </w:rPr>
        <w:t>目前已有486家技术服务机构、4194名从业人员（其中责任工程师有1288名）纳入消防审验技术服务平台管理。《技术服务管理办法》实施以来，通过</w:t>
      </w:r>
      <w:r>
        <w:rPr>
          <w:rFonts w:hint="eastAsia" w:ascii="Times New Roman" w:hAnsi="Times New Roman" w:eastAsia="方正仿宋_GBK"/>
          <w:color w:val="000000"/>
          <w:sz w:val="32"/>
          <w:szCs w:val="32"/>
          <w:lang w:bidi="ar"/>
        </w:rPr>
        <w:t>细化从业人员权利义务</w:t>
      </w:r>
      <w:r>
        <w:rPr>
          <w:rFonts w:hint="eastAsia" w:ascii="Times New Roman" w:hAnsi="Times New Roman" w:eastAsia="方正仿宋_GBK"/>
          <w:color w:val="000000"/>
          <w:sz w:val="32"/>
          <w:szCs w:val="32"/>
          <w:lang w:eastAsia="zh-CN" w:bidi="ar"/>
        </w:rPr>
        <w:t>，</w:t>
      </w:r>
      <w:r>
        <w:rPr>
          <w:rFonts w:hint="eastAsia" w:ascii="方正仿宋_GBK" w:hAnsi="方正仿宋_GBK" w:eastAsia="方正仿宋_GBK" w:cs="方正仿宋_GBK"/>
          <w:sz w:val="32"/>
          <w:szCs w:val="32"/>
          <w:lang w:val="en-US" w:eastAsia="zh-CN"/>
        </w:rPr>
        <w:t>规范技术服务行为，对于提升技术服务质量取得了一定的成效。但仍有部分地区反映，</w:t>
      </w:r>
      <w:r>
        <w:rPr>
          <w:rFonts w:hint="eastAsia" w:ascii="方正仿宋_GBK" w:hAnsi="方正仿宋_GBK" w:eastAsia="方正仿宋_GBK" w:cs="方正仿宋_GBK"/>
          <w:sz w:val="32"/>
          <w:szCs w:val="32"/>
          <w:highlight w:val="none"/>
        </w:rPr>
        <w:t>由于缺乏对人员从业</w:t>
      </w:r>
      <w:r>
        <w:rPr>
          <w:rFonts w:hint="eastAsia" w:ascii="方正仿宋_GBK" w:hAnsi="方正仿宋_GBK" w:eastAsia="方正仿宋_GBK" w:cs="方正仿宋_GBK"/>
          <w:sz w:val="32"/>
          <w:szCs w:val="32"/>
          <w:highlight w:val="none"/>
          <w:lang w:val="en-US" w:eastAsia="zh-CN"/>
        </w:rPr>
        <w:t>行为</w:t>
      </w:r>
      <w:r>
        <w:rPr>
          <w:rFonts w:hint="eastAsia" w:ascii="方正仿宋_GBK" w:hAnsi="方正仿宋_GBK" w:eastAsia="方正仿宋_GBK" w:cs="方正仿宋_GBK"/>
          <w:sz w:val="32"/>
          <w:szCs w:val="32"/>
          <w:highlight w:val="none"/>
        </w:rPr>
        <w:t>的</w:t>
      </w:r>
      <w:r>
        <w:rPr>
          <w:rFonts w:hint="eastAsia" w:ascii="方正仿宋_GBK" w:hAnsi="方正仿宋_GBK" w:eastAsia="方正仿宋_GBK" w:cs="方正仿宋_GBK"/>
          <w:sz w:val="32"/>
          <w:szCs w:val="32"/>
          <w:highlight w:val="none"/>
          <w:lang w:val="en-US" w:eastAsia="zh-CN"/>
        </w:rPr>
        <w:t>刚性</w:t>
      </w:r>
      <w:r>
        <w:rPr>
          <w:rFonts w:hint="eastAsia" w:ascii="方正仿宋_GBK" w:hAnsi="方正仿宋_GBK" w:eastAsia="方正仿宋_GBK" w:cs="方正仿宋_GBK"/>
          <w:sz w:val="32"/>
          <w:szCs w:val="32"/>
          <w:highlight w:val="none"/>
        </w:rPr>
        <w:t>约束，</w:t>
      </w:r>
      <w:r>
        <w:rPr>
          <w:rFonts w:hint="eastAsia" w:ascii="方正仿宋_GBK" w:hAnsi="方正仿宋_GBK" w:eastAsia="方正仿宋_GBK" w:cs="方正仿宋_GBK"/>
          <w:sz w:val="32"/>
          <w:szCs w:val="32"/>
          <w:highlight w:val="none"/>
          <w:lang w:val="en-US" w:eastAsia="zh-CN"/>
        </w:rPr>
        <w:t>人员流动性较大，</w:t>
      </w:r>
      <w:r>
        <w:rPr>
          <w:rFonts w:hint="eastAsia" w:ascii="方正仿宋_GBK" w:hAnsi="方正仿宋_GBK" w:eastAsia="方正仿宋_GBK" w:cs="方正仿宋_GBK"/>
          <w:sz w:val="32"/>
          <w:szCs w:val="32"/>
          <w:highlight w:val="none"/>
        </w:rPr>
        <w:t>从业人员即便受到行政处罚，仍可轻易继续从业，导致违法成本低、震慑力不足，影响了消防审验</w:t>
      </w:r>
      <w:r>
        <w:rPr>
          <w:rFonts w:hint="eastAsia" w:ascii="方正仿宋_GBK" w:hAnsi="方正仿宋_GBK" w:eastAsia="方正仿宋_GBK" w:cs="方正仿宋_GBK"/>
          <w:sz w:val="32"/>
          <w:szCs w:val="32"/>
          <w:highlight w:val="none"/>
          <w:lang w:val="en-US" w:eastAsia="zh-CN"/>
        </w:rPr>
        <w:t>技术服务</w:t>
      </w:r>
      <w:r>
        <w:rPr>
          <w:rFonts w:hint="eastAsia" w:ascii="方正仿宋_GBK" w:hAnsi="方正仿宋_GBK" w:eastAsia="方正仿宋_GBK" w:cs="方正仿宋_GBK"/>
          <w:sz w:val="32"/>
          <w:szCs w:val="32"/>
          <w:highlight w:val="none"/>
        </w:rPr>
        <w:t>质量。因此，迫切需要建立针对</w:t>
      </w:r>
      <w:r>
        <w:rPr>
          <w:rFonts w:hint="eastAsia" w:ascii="方正仿宋_GBK" w:hAnsi="方正仿宋_GBK" w:eastAsia="方正仿宋_GBK" w:cs="方正仿宋_GBK"/>
          <w:sz w:val="32"/>
          <w:szCs w:val="32"/>
          <w:highlight w:val="none"/>
          <w:lang w:val="en-US" w:eastAsia="zh-CN"/>
        </w:rPr>
        <w:t>消防审验技术服务</w:t>
      </w:r>
      <w:r>
        <w:rPr>
          <w:rFonts w:hint="eastAsia" w:ascii="方正仿宋_GBK" w:hAnsi="方正仿宋_GBK" w:eastAsia="方正仿宋_GBK" w:cs="方正仿宋_GBK"/>
          <w:sz w:val="32"/>
          <w:szCs w:val="32"/>
          <w:highlight w:val="none"/>
        </w:rPr>
        <w:t>从业人员的信用管理体系，形成“一处失信、处处受限”的监管合力。</w:t>
      </w:r>
    </w:p>
    <w:p w14:paraId="0DA855C5">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left"/>
        <w:textAlignment w:val="auto"/>
        <w:rPr>
          <w:rFonts w:hint="eastAsia" w:ascii="Times New Roman" w:hAnsi="Times New Roman" w:eastAsia="方正仿宋_GBK"/>
          <w:color w:val="000000"/>
          <w:sz w:val="32"/>
          <w:szCs w:val="32"/>
          <w:lang w:bidi="ar"/>
        </w:rPr>
      </w:pPr>
      <w:r>
        <w:rPr>
          <w:rFonts w:hint="eastAsia" w:ascii="方正仿宋_GBK" w:hAnsi="方正仿宋_GBK" w:eastAsia="方正仿宋_GBK" w:cs="方正仿宋_GBK"/>
          <w:sz w:val="32"/>
          <w:szCs w:val="32"/>
        </w:rPr>
        <w:t>本《</w:t>
      </w:r>
      <w:r>
        <w:rPr>
          <w:rFonts w:hint="eastAsia" w:ascii="方正仿宋_GBK" w:hAnsi="方正仿宋_GBK" w:eastAsia="方正仿宋_GBK" w:cs="方正仿宋_GBK"/>
          <w:sz w:val="32"/>
          <w:szCs w:val="32"/>
          <w:lang w:val="en-US" w:eastAsia="zh-CN"/>
        </w:rPr>
        <w:t>信用管理</w:t>
      </w:r>
      <w:r>
        <w:rPr>
          <w:rFonts w:hint="eastAsia" w:ascii="方正仿宋_GBK" w:hAnsi="方正仿宋_GBK" w:eastAsia="方正仿宋_GBK" w:cs="方正仿宋_GBK"/>
          <w:sz w:val="32"/>
          <w:szCs w:val="32"/>
        </w:rPr>
        <w:t>办法》聚焦从业人员信用</w:t>
      </w:r>
      <w:r>
        <w:rPr>
          <w:rFonts w:hint="eastAsia" w:ascii="方正仿宋_GBK" w:hAnsi="方正仿宋_GBK" w:eastAsia="方正仿宋_GBK" w:cs="方正仿宋_GBK"/>
          <w:sz w:val="32"/>
          <w:szCs w:val="32"/>
          <w:lang w:val="en-US" w:eastAsia="zh-CN"/>
        </w:rPr>
        <w:t>管理</w:t>
      </w:r>
      <w:r>
        <w:rPr>
          <w:rFonts w:hint="eastAsia" w:ascii="方正仿宋_GBK" w:hAnsi="方正仿宋_GBK" w:eastAsia="方正仿宋_GBK" w:cs="方正仿宋_GBK"/>
          <w:sz w:val="32"/>
          <w:szCs w:val="32"/>
        </w:rPr>
        <w:t>这一关键环节，旨在构建覆盖“信息归集、失信认定、分级惩戒、信用修复”的全流程信用监管闭环，是对我省消防审验技术服务监管制度体系的进一步完善和重要补充</w:t>
      </w:r>
      <w:r>
        <w:rPr>
          <w:rFonts w:hint="eastAsia" w:ascii="方正仿宋_GBK" w:hAnsi="方正仿宋_GBK" w:eastAsia="方正仿宋_GBK" w:cs="方正仿宋_GBK"/>
          <w:sz w:val="32"/>
          <w:szCs w:val="32"/>
          <w:lang w:eastAsia="zh-CN"/>
        </w:rPr>
        <w:t>，</w:t>
      </w:r>
      <w:r>
        <w:rPr>
          <w:rFonts w:hint="eastAsia" w:ascii="Times New Roman" w:hAnsi="Times New Roman" w:eastAsia="方正仿宋_GBK"/>
          <w:color w:val="000000"/>
          <w:sz w:val="32"/>
          <w:szCs w:val="32"/>
          <w:lang w:bidi="ar"/>
        </w:rPr>
        <w:t>也是完善行业监管体系的重要举措。</w:t>
      </w:r>
    </w:p>
    <w:p w14:paraId="1FCFD4D5">
      <w:pPr>
        <w:pStyle w:val="13"/>
        <w:wordWrap w:val="0"/>
        <w:spacing w:line="570" w:lineRule="exact"/>
        <w:ind w:firstLine="640" w:firstLineChars="200"/>
        <w:rPr>
          <w:rFonts w:ascii="方正黑体_GBK" w:eastAsia="方正黑体_GBK" w:cs="仿宋_GB2312"/>
          <w:kern w:val="0"/>
          <w:sz w:val="32"/>
          <w:szCs w:val="32"/>
        </w:rPr>
      </w:pPr>
      <w:r>
        <w:rPr>
          <w:rFonts w:hint="eastAsia" w:ascii="方正黑体_GBK" w:hAnsi="方正黑体_GBK" w:eastAsia="方正黑体_GBK" w:cs="方正黑体_GBK"/>
          <w:sz w:val="32"/>
          <w:szCs w:val="32"/>
          <w:lang w:bidi="ar"/>
        </w:rPr>
        <w:t>二、</w:t>
      </w:r>
      <w:r>
        <w:rPr>
          <w:rFonts w:hint="eastAsia" w:ascii="方正黑体_GBK" w:hAnsi="方正黑体_GBK" w:eastAsia="方正黑体_GBK" w:cs="方正黑体_GBK"/>
          <w:kern w:val="0"/>
          <w:sz w:val="32"/>
          <w:szCs w:val="32"/>
          <w:lang w:bidi="ar"/>
        </w:rPr>
        <w:t>起草情况</w:t>
      </w:r>
    </w:p>
    <w:p w14:paraId="1ACABB57">
      <w:pPr>
        <w:pStyle w:val="13"/>
        <w:keepNext w:val="0"/>
        <w:keepLines w:val="0"/>
        <w:widowControl w:val="0"/>
        <w:suppressLineNumbers w:val="0"/>
        <w:suppressAutoHyphens/>
        <w:wordWrap w:val="0"/>
        <w:autoSpaceDE w:val="0"/>
        <w:autoSpaceDN/>
        <w:spacing w:before="0" w:beforeAutospacing="0" w:after="0" w:afterAutospacing="0" w:line="570" w:lineRule="exact"/>
        <w:ind w:left="0" w:leftChars="0" w:right="0" w:firstLine="640" w:firstLineChars="200"/>
        <w:jc w:val="both"/>
        <w:rPr>
          <w:rFonts w:hint="default" w:ascii="Times New Roman" w:hAnsi="Times New Roman" w:eastAsia="方正仿宋_GBK" w:cs="Times New Roman"/>
          <w:sz w:val="32"/>
          <w:szCs w:val="32"/>
          <w:lang w:eastAsia="zh-CN" w:bidi="ar"/>
        </w:rPr>
      </w:pPr>
      <w:r>
        <w:rPr>
          <w:rFonts w:hint="default" w:ascii="Times New Roman" w:hAnsi="Times New Roman" w:eastAsia="方正仿宋_GBK" w:cs="Times New Roman"/>
          <w:sz w:val="32"/>
          <w:szCs w:val="32"/>
          <w:lang w:bidi="ar"/>
        </w:rPr>
        <w:t>2025年上半年，在总结南京、盐城等地</w:t>
      </w:r>
      <w:r>
        <w:rPr>
          <w:rFonts w:hint="eastAsia" w:ascii="Times New Roman" w:hAnsi="Times New Roman" w:eastAsia="方正仿宋_GBK" w:cs="Times New Roman"/>
          <w:sz w:val="32"/>
          <w:szCs w:val="32"/>
          <w:lang w:val="en-US" w:eastAsia="zh-CN" w:bidi="ar"/>
        </w:rPr>
        <w:t>消防审验技术服务信用管理</w:t>
      </w:r>
      <w:r>
        <w:rPr>
          <w:rFonts w:hint="eastAsia" w:ascii="Times New Roman" w:hAnsi="Times New Roman" w:eastAsia="方正仿宋_GBK" w:cs="Times New Roman"/>
          <w:sz w:val="32"/>
          <w:szCs w:val="32"/>
          <w:lang w:eastAsia="zh-CN" w:bidi="ar"/>
        </w:rPr>
        <w:t>试点</w:t>
      </w:r>
      <w:r>
        <w:rPr>
          <w:rFonts w:hint="eastAsia" w:ascii="Times New Roman" w:hAnsi="Times New Roman" w:eastAsia="方正仿宋_GBK" w:cs="Times New Roman"/>
          <w:sz w:val="32"/>
          <w:szCs w:val="32"/>
          <w:lang w:val="en-US" w:eastAsia="zh-CN" w:bidi="ar"/>
        </w:rPr>
        <w:t>经验的基础上，</w:t>
      </w:r>
      <w:r>
        <w:rPr>
          <w:rFonts w:hint="default" w:ascii="Times New Roman" w:hAnsi="Times New Roman" w:eastAsia="方正仿宋_GBK" w:cs="Times New Roman"/>
          <w:color w:val="000000" w:themeColor="text1"/>
          <w:sz w:val="32"/>
          <w:szCs w:val="32"/>
          <w:lang w:bidi="ar"/>
          <w14:textFill>
            <w14:solidFill>
              <w14:schemeClr w14:val="tx1"/>
            </w14:solidFill>
          </w14:textFill>
        </w:rPr>
        <w:t>厅消防处组织开展消防审验技术服务从业人员信用管理相关研究，</w:t>
      </w:r>
      <w:r>
        <w:rPr>
          <w:rFonts w:hint="default" w:ascii="Times New Roman" w:hAnsi="Times New Roman" w:eastAsia="方正仿宋_GBK" w:cs="Times New Roman"/>
          <w:sz w:val="32"/>
          <w:szCs w:val="32"/>
          <w:lang w:bidi="ar"/>
        </w:rPr>
        <w:t>着手起草《</w:t>
      </w:r>
      <w:r>
        <w:rPr>
          <w:rFonts w:hint="eastAsia" w:ascii="Times New Roman" w:hAnsi="Times New Roman" w:eastAsia="方正仿宋_GBK" w:cs="Times New Roman"/>
          <w:sz w:val="32"/>
          <w:szCs w:val="32"/>
          <w:lang w:val="en-US" w:eastAsia="zh-CN" w:bidi="ar"/>
        </w:rPr>
        <w:t>信用</w:t>
      </w:r>
      <w:r>
        <w:rPr>
          <w:rFonts w:hint="default" w:ascii="Times New Roman" w:hAnsi="Times New Roman" w:eastAsia="方正仿宋_GBK" w:cs="Times New Roman"/>
          <w:sz w:val="32"/>
          <w:szCs w:val="32"/>
          <w:lang w:bidi="ar"/>
        </w:rPr>
        <w:t>管理办法》，初步明确信用信息采集、失信认定、失信惩戒、信用修复等核心内容框架。2025年</w:t>
      </w:r>
      <w:r>
        <w:rPr>
          <w:rFonts w:hint="default" w:ascii="Times New Roman" w:hAnsi="Times New Roman" w:eastAsia="方正仿宋_GBK" w:cs="Times New Roman"/>
          <w:sz w:val="32"/>
          <w:szCs w:val="32"/>
          <w:lang w:val="en-US" w:eastAsia="zh-CN" w:bidi="ar"/>
        </w:rPr>
        <w:t>7-10</w:t>
      </w:r>
      <w:r>
        <w:rPr>
          <w:rFonts w:hint="default" w:ascii="Times New Roman" w:hAnsi="Times New Roman" w:eastAsia="方正仿宋_GBK" w:cs="Times New Roman"/>
          <w:sz w:val="32"/>
          <w:szCs w:val="32"/>
          <w:lang w:bidi="ar"/>
        </w:rPr>
        <w:t>月，</w:t>
      </w:r>
      <w:r>
        <w:rPr>
          <w:rFonts w:hint="eastAsia" w:eastAsia="方正仿宋_GBK" w:cs="Times New Roman"/>
          <w:sz w:val="32"/>
          <w:szCs w:val="32"/>
          <w:lang w:val="en-US" w:eastAsia="zh-CN" w:bidi="ar"/>
        </w:rPr>
        <w:t>征集省内部分</w:t>
      </w:r>
      <w:r>
        <w:rPr>
          <w:rFonts w:hint="default" w:ascii="Times New Roman" w:hAnsi="Times New Roman" w:eastAsia="方正仿宋_GBK" w:cs="Times New Roman"/>
          <w:sz w:val="32"/>
          <w:szCs w:val="32"/>
          <w:lang w:bidi="ar"/>
        </w:rPr>
        <w:t>设区市住房城乡建设主管部门</w:t>
      </w:r>
      <w:r>
        <w:rPr>
          <w:rFonts w:hint="eastAsia" w:ascii="Times New Roman" w:hAnsi="Times New Roman" w:eastAsia="方正仿宋_GBK" w:cs="Times New Roman"/>
          <w:sz w:val="32"/>
          <w:szCs w:val="32"/>
          <w:lang w:eastAsia="zh-CN" w:bidi="ar"/>
        </w:rPr>
        <w:t>和</w:t>
      </w:r>
      <w:r>
        <w:rPr>
          <w:rFonts w:hint="default" w:ascii="Times New Roman" w:hAnsi="Times New Roman" w:eastAsia="方正仿宋_GBK" w:cs="Times New Roman"/>
          <w:sz w:val="32"/>
          <w:szCs w:val="32"/>
          <w:lang w:bidi="ar"/>
        </w:rPr>
        <w:t>技术服务机构</w:t>
      </w:r>
      <w:r>
        <w:rPr>
          <w:rFonts w:hint="eastAsia" w:ascii="Times New Roman" w:hAnsi="Times New Roman" w:eastAsia="方正仿宋_GBK" w:cs="Times New Roman"/>
          <w:sz w:val="32"/>
          <w:szCs w:val="32"/>
          <w:lang w:eastAsia="zh-CN" w:bidi="ar"/>
        </w:rPr>
        <w:t>代表</w:t>
      </w:r>
      <w:r>
        <w:rPr>
          <w:rFonts w:hint="default" w:ascii="Times New Roman" w:hAnsi="Times New Roman" w:eastAsia="方正仿宋_GBK" w:cs="Times New Roman"/>
          <w:sz w:val="32"/>
          <w:szCs w:val="32"/>
          <w:lang w:bidi="ar"/>
        </w:rPr>
        <w:t>意见建议</w:t>
      </w:r>
      <w:r>
        <w:rPr>
          <w:rFonts w:hint="eastAsia" w:ascii="Times New Roman" w:hAnsi="Times New Roman" w:eastAsia="方正仿宋_GBK" w:cs="Times New Roman"/>
          <w:sz w:val="32"/>
          <w:szCs w:val="32"/>
          <w:lang w:eastAsia="zh-CN" w:bidi="ar"/>
        </w:rPr>
        <w:t>，</w:t>
      </w:r>
      <w:r>
        <w:rPr>
          <w:rFonts w:hint="default" w:ascii="Times New Roman" w:hAnsi="Times New Roman" w:eastAsia="方正仿宋_GBK" w:cs="Times New Roman"/>
          <w:sz w:val="32"/>
          <w:szCs w:val="32"/>
          <w:lang w:val="en-US" w:eastAsia="zh-CN" w:bidi="ar"/>
        </w:rPr>
        <w:t>形成《</w:t>
      </w:r>
      <w:r>
        <w:rPr>
          <w:rFonts w:hint="eastAsia" w:eastAsia="方正仿宋_GBK" w:cs="Times New Roman"/>
          <w:sz w:val="32"/>
          <w:szCs w:val="32"/>
          <w:lang w:val="en-US" w:eastAsia="zh-CN" w:bidi="ar"/>
        </w:rPr>
        <w:t>信用</w:t>
      </w:r>
      <w:r>
        <w:rPr>
          <w:rFonts w:hint="default" w:ascii="Times New Roman" w:hAnsi="Times New Roman" w:eastAsia="方正仿宋_GBK" w:cs="Times New Roman"/>
          <w:sz w:val="32"/>
          <w:szCs w:val="32"/>
          <w:lang w:val="en-US" w:eastAsia="zh-CN" w:bidi="ar"/>
        </w:rPr>
        <w:t>管理办法》（初稿）</w:t>
      </w:r>
      <w:r>
        <w:rPr>
          <w:rFonts w:hint="default" w:ascii="Times New Roman" w:hAnsi="Times New Roman" w:eastAsia="方正仿宋_GBK" w:cs="Times New Roman"/>
          <w:sz w:val="32"/>
          <w:szCs w:val="32"/>
          <w:lang w:eastAsia="zh-CN" w:bidi="ar"/>
        </w:rPr>
        <w:t>。</w:t>
      </w:r>
    </w:p>
    <w:p w14:paraId="3C7BAF0F">
      <w:pPr>
        <w:pStyle w:val="13"/>
        <w:keepNext w:val="0"/>
        <w:keepLines w:val="0"/>
        <w:widowControl w:val="0"/>
        <w:suppressLineNumbers w:val="0"/>
        <w:suppressAutoHyphens/>
        <w:wordWrap w:val="0"/>
        <w:autoSpaceDE w:val="0"/>
        <w:autoSpaceDN/>
        <w:spacing w:before="0" w:beforeAutospacing="0" w:after="0" w:afterAutospacing="0" w:line="570" w:lineRule="exact"/>
        <w:ind w:left="0" w:leftChars="0" w:right="0" w:firstLine="640" w:firstLineChars="200"/>
        <w:jc w:val="both"/>
        <w:rPr>
          <w:rFonts w:hint="default" w:ascii="Times New Roman" w:hAnsi="Times New Roman" w:eastAsia="方正仿宋_GBK" w:cs="Times New Roman"/>
          <w:sz w:val="32"/>
          <w:szCs w:val="32"/>
          <w:lang w:val="en-US" w:eastAsia="zh-CN" w:bidi="ar"/>
        </w:rPr>
      </w:pPr>
      <w:r>
        <w:rPr>
          <w:rFonts w:hint="default" w:ascii="Times New Roman" w:hAnsi="Times New Roman" w:eastAsia="方正仿宋_GBK" w:cs="Times New Roman"/>
          <w:sz w:val="32"/>
          <w:szCs w:val="32"/>
          <w:lang w:val="en-US" w:eastAsia="zh-CN" w:bidi="ar"/>
        </w:rPr>
        <w:t>11月，</w:t>
      </w:r>
      <w:r>
        <w:rPr>
          <w:rFonts w:hint="eastAsia" w:ascii="Times New Roman" w:hAnsi="Times New Roman" w:eastAsia="方正仿宋_GBK" w:cs="Times New Roman"/>
          <w:sz w:val="32"/>
          <w:szCs w:val="32"/>
          <w:lang w:val="en-US" w:eastAsia="zh-CN" w:bidi="ar"/>
        </w:rPr>
        <w:t>邀请主管部门、服务对象、法律专家对</w:t>
      </w:r>
      <w:r>
        <w:rPr>
          <w:rFonts w:hint="default" w:ascii="Times New Roman" w:hAnsi="Times New Roman" w:eastAsia="方正仿宋_GBK" w:cs="Times New Roman"/>
          <w:sz w:val="32"/>
          <w:szCs w:val="32"/>
          <w:lang w:val="en-US" w:eastAsia="zh-CN" w:bidi="ar"/>
        </w:rPr>
        <w:t>《</w:t>
      </w:r>
      <w:r>
        <w:rPr>
          <w:rFonts w:hint="eastAsia" w:eastAsia="方正仿宋_GBK" w:cs="Times New Roman"/>
          <w:sz w:val="32"/>
          <w:szCs w:val="32"/>
          <w:lang w:val="en-US" w:eastAsia="zh-CN" w:bidi="ar"/>
        </w:rPr>
        <w:t>信用</w:t>
      </w:r>
      <w:r>
        <w:rPr>
          <w:rFonts w:hint="default" w:ascii="Times New Roman" w:hAnsi="Times New Roman" w:eastAsia="方正仿宋_GBK" w:cs="Times New Roman"/>
          <w:sz w:val="32"/>
          <w:szCs w:val="32"/>
          <w:lang w:val="en-US" w:eastAsia="zh-CN" w:bidi="ar"/>
        </w:rPr>
        <w:t>管理办法》（初稿）</w:t>
      </w:r>
      <w:r>
        <w:rPr>
          <w:rFonts w:hint="eastAsia" w:eastAsia="方正仿宋_GBK" w:cs="Times New Roman"/>
          <w:sz w:val="32"/>
          <w:szCs w:val="32"/>
          <w:lang w:val="en-US" w:eastAsia="zh-CN" w:bidi="ar"/>
        </w:rPr>
        <w:t>进行研讨，并函询省发改委、交通厅、水利厅、省铁路办、消防救援总队等单位意见，</w:t>
      </w:r>
      <w:r>
        <w:rPr>
          <w:rFonts w:hint="default" w:ascii="Times New Roman" w:hAnsi="Times New Roman" w:eastAsia="方正仿宋_GBK" w:cs="Times New Roman"/>
          <w:kern w:val="2"/>
          <w:sz w:val="32"/>
          <w:szCs w:val="32"/>
          <w:lang w:val="en-US" w:eastAsia="zh-CN" w:bidi="ar"/>
        </w:rPr>
        <w:t>对收集到的21条意见建议逐一消化，进一步修改完善</w:t>
      </w:r>
      <w:r>
        <w:rPr>
          <w:rFonts w:hint="eastAsia" w:eastAsia="方正仿宋_GBK" w:cs="Times New Roman"/>
          <w:sz w:val="32"/>
          <w:szCs w:val="32"/>
          <w:lang w:val="en-US" w:eastAsia="zh-CN" w:bidi="ar"/>
        </w:rPr>
        <w:t>。12月16日，在厅法规处的带领下，就</w:t>
      </w:r>
      <w:r>
        <w:rPr>
          <w:rFonts w:hint="default" w:ascii="Times New Roman" w:hAnsi="Times New Roman" w:eastAsia="方正仿宋_GBK" w:cs="Times New Roman"/>
          <w:sz w:val="32"/>
          <w:szCs w:val="32"/>
          <w:lang w:val="en-US" w:eastAsia="zh-CN" w:bidi="ar"/>
        </w:rPr>
        <w:t>《</w:t>
      </w:r>
      <w:r>
        <w:rPr>
          <w:rFonts w:hint="eastAsia" w:eastAsia="方正仿宋_GBK" w:cs="Times New Roman"/>
          <w:sz w:val="32"/>
          <w:szCs w:val="32"/>
          <w:lang w:val="en-US" w:eastAsia="zh-CN" w:bidi="ar"/>
        </w:rPr>
        <w:t>信用</w:t>
      </w:r>
      <w:r>
        <w:rPr>
          <w:rFonts w:hint="default" w:ascii="Times New Roman" w:hAnsi="Times New Roman" w:eastAsia="方正仿宋_GBK" w:cs="Times New Roman"/>
          <w:sz w:val="32"/>
          <w:szCs w:val="32"/>
          <w:lang w:val="en-US" w:eastAsia="zh-CN" w:bidi="ar"/>
        </w:rPr>
        <w:t>管理办法》</w:t>
      </w:r>
      <w:r>
        <w:rPr>
          <w:rFonts w:hint="eastAsia" w:eastAsia="方正仿宋_GBK" w:cs="Times New Roman"/>
          <w:sz w:val="32"/>
          <w:szCs w:val="32"/>
          <w:lang w:val="en-US" w:eastAsia="zh-CN" w:bidi="ar"/>
        </w:rPr>
        <w:t>起草情况和意见采纳情况与省发改委信用建设处进行了当面沟通</w:t>
      </w:r>
      <w:r>
        <w:rPr>
          <w:rFonts w:hint="default" w:ascii="Times New Roman" w:hAnsi="Times New Roman" w:eastAsia="方正仿宋_GBK" w:cs="Times New Roman"/>
          <w:kern w:val="2"/>
          <w:sz w:val="32"/>
          <w:szCs w:val="32"/>
          <w:lang w:val="en-US" w:eastAsia="zh-CN" w:bidi="ar"/>
        </w:rPr>
        <w:t>，形成目前的</w:t>
      </w:r>
      <w:r>
        <w:rPr>
          <w:rFonts w:hint="eastAsia" w:eastAsia="方正仿宋_GBK" w:cs="Times New Roman"/>
          <w:kern w:val="2"/>
          <w:sz w:val="32"/>
          <w:szCs w:val="32"/>
          <w:lang w:val="en-US" w:eastAsia="zh-CN" w:bidi="ar"/>
        </w:rPr>
        <w:t>汇报稿。</w:t>
      </w:r>
    </w:p>
    <w:p w14:paraId="389E327E">
      <w:pPr>
        <w:pStyle w:val="13"/>
        <w:wordWrap w:val="0"/>
        <w:autoSpaceDE w:val="0"/>
        <w:spacing w:line="570" w:lineRule="exact"/>
        <w:ind w:firstLine="640" w:firstLineChars="200"/>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lang w:bidi="ar"/>
        </w:rPr>
        <w:t>三、《</w:t>
      </w:r>
      <w:r>
        <w:rPr>
          <w:rFonts w:hint="eastAsia" w:ascii="方正黑体_GBK" w:hAnsi="方正黑体_GBK" w:eastAsia="方正黑体_GBK" w:cs="方正黑体_GBK"/>
          <w:sz w:val="32"/>
          <w:szCs w:val="32"/>
          <w:lang w:val="en-US" w:eastAsia="zh-CN" w:bidi="ar"/>
        </w:rPr>
        <w:t>信用</w:t>
      </w:r>
      <w:r>
        <w:rPr>
          <w:rFonts w:hint="eastAsia" w:ascii="方正黑体_GBK" w:hAnsi="方正黑体_GBK" w:eastAsia="方正黑体_GBK" w:cs="方正黑体_GBK"/>
          <w:sz w:val="32"/>
          <w:szCs w:val="32"/>
          <w:lang w:bidi="ar"/>
        </w:rPr>
        <w:t>管理办法》主要内容</w:t>
      </w:r>
    </w:p>
    <w:p w14:paraId="5B4F2D37">
      <w:pPr>
        <w:overflowPunct w:val="0"/>
        <w:spacing w:line="570" w:lineRule="exact"/>
        <w:ind w:firstLine="640" w:firstLineChars="200"/>
        <w:jc w:val="left"/>
        <w:rPr>
          <w:rFonts w:ascii="Times New Roman" w:hAnsi="Times New Roman" w:eastAsia="方正仿宋_GBK"/>
          <w:sz w:val="32"/>
          <w:szCs w:val="32"/>
          <w:u w:val="single"/>
        </w:rPr>
      </w:pPr>
      <w:r>
        <w:rPr>
          <w:rFonts w:hint="eastAsia" w:ascii="方正仿宋_GBK" w:hAnsi="方正仿宋_GBK" w:eastAsia="方正仿宋_GBK" w:cs="方正仿宋_GBK"/>
          <w:sz w:val="32"/>
          <w:szCs w:val="32"/>
          <w:lang w:bidi="ar"/>
        </w:rPr>
        <w:t>《</w:t>
      </w:r>
      <w:r>
        <w:rPr>
          <w:rFonts w:hint="eastAsia" w:ascii="方正仿宋_GBK" w:hAnsi="方正仿宋_GBK" w:eastAsia="方正仿宋_GBK" w:cs="方正仿宋_GBK"/>
          <w:sz w:val="32"/>
          <w:szCs w:val="32"/>
          <w:lang w:val="en-US" w:eastAsia="zh-CN" w:bidi="ar"/>
        </w:rPr>
        <w:t>信用</w:t>
      </w:r>
      <w:r>
        <w:rPr>
          <w:rFonts w:hint="eastAsia" w:ascii="方正仿宋_GBK" w:hAnsi="方正仿宋_GBK" w:eastAsia="方正仿宋_GBK" w:cs="方正仿宋_GBK"/>
          <w:sz w:val="32"/>
          <w:szCs w:val="32"/>
          <w:lang w:bidi="ar"/>
        </w:rPr>
        <w:t>管理办法》共六章三十</w:t>
      </w:r>
      <w:r>
        <w:rPr>
          <w:rFonts w:hint="eastAsia" w:ascii="方正仿宋_GBK" w:hAnsi="方正仿宋_GBK" w:eastAsia="方正仿宋_GBK" w:cs="方正仿宋_GBK"/>
          <w:sz w:val="32"/>
          <w:szCs w:val="32"/>
          <w:lang w:val="en-US" w:eastAsia="zh-CN" w:bidi="ar"/>
        </w:rPr>
        <w:t>三</w:t>
      </w:r>
      <w:r>
        <w:rPr>
          <w:rFonts w:hint="eastAsia" w:ascii="方正仿宋_GBK" w:hAnsi="方正仿宋_GBK" w:eastAsia="方正仿宋_GBK" w:cs="方正仿宋_GBK"/>
          <w:sz w:val="32"/>
          <w:szCs w:val="32"/>
          <w:lang w:bidi="ar"/>
        </w:rPr>
        <w:t>条，聚焦消防审验技术服务</w:t>
      </w:r>
      <w:r>
        <w:rPr>
          <w:rFonts w:hint="default" w:ascii="方正仿宋_GBK" w:hAnsi="方正仿宋_GBK" w:eastAsia="方正仿宋_GBK" w:cs="方正仿宋_GBK"/>
          <w:sz w:val="32"/>
          <w:szCs w:val="32"/>
          <w:highlight w:val="none"/>
          <w:u w:val="none"/>
          <w:lang w:bidi="ar"/>
        </w:rPr>
        <w:t>从业人员</w:t>
      </w:r>
      <w:r>
        <w:rPr>
          <w:rFonts w:hint="eastAsia" w:ascii="方正仿宋_GBK" w:hAnsi="方正仿宋_GBK" w:eastAsia="方正仿宋_GBK" w:cs="方正仿宋_GBK"/>
          <w:sz w:val="32"/>
          <w:szCs w:val="32"/>
          <w:lang w:bidi="ar"/>
        </w:rPr>
        <w:t>的信用管理全流程，构建</w:t>
      </w:r>
      <w:r>
        <w:rPr>
          <w:rFonts w:ascii="方正仿宋_GBK" w:hAnsi="方正仿宋_GBK" w:eastAsia="方正仿宋_GBK" w:cs="方正仿宋_GBK"/>
          <w:sz w:val="32"/>
          <w:szCs w:val="32"/>
          <w:lang w:bidi="ar"/>
        </w:rPr>
        <w:t>“</w:t>
      </w:r>
      <w:r>
        <w:rPr>
          <w:rFonts w:hint="eastAsia" w:ascii="方正仿宋_GBK" w:hAnsi="方正仿宋_GBK" w:eastAsia="方正仿宋_GBK" w:cs="方正仿宋_GBK"/>
          <w:sz w:val="32"/>
          <w:szCs w:val="32"/>
          <w:lang w:bidi="ar"/>
        </w:rPr>
        <w:t>信息采集</w:t>
      </w:r>
      <w:r>
        <w:rPr>
          <w:rFonts w:hint="eastAsia" w:ascii="方正仿宋_GBK" w:hAnsi="方正仿宋_GBK" w:eastAsia="方正仿宋_GBK" w:cs="方正仿宋_GBK"/>
          <w:sz w:val="32"/>
          <w:szCs w:val="32"/>
          <w:lang w:val="en-US" w:eastAsia="zh-CN" w:bidi="ar"/>
        </w:rPr>
        <w:t>-</w:t>
      </w:r>
      <w:r>
        <w:rPr>
          <w:rFonts w:hint="eastAsia" w:ascii="方正仿宋_GBK" w:hAnsi="方正仿宋_GBK" w:eastAsia="方正仿宋_GBK" w:cs="方正仿宋_GBK"/>
          <w:sz w:val="32"/>
          <w:szCs w:val="32"/>
          <w:lang w:bidi="ar"/>
        </w:rPr>
        <w:t>信用认定</w:t>
      </w:r>
      <w:r>
        <w:rPr>
          <w:rFonts w:hint="eastAsia" w:ascii="方正仿宋_GBK" w:hAnsi="方正仿宋_GBK" w:eastAsia="方正仿宋_GBK" w:cs="方正仿宋_GBK"/>
          <w:sz w:val="32"/>
          <w:szCs w:val="32"/>
          <w:lang w:val="en-US" w:eastAsia="zh-CN" w:bidi="ar"/>
        </w:rPr>
        <w:t>-</w:t>
      </w:r>
      <w:r>
        <w:rPr>
          <w:rFonts w:hint="eastAsia" w:ascii="方正仿宋_GBK" w:hAnsi="方正仿宋_GBK" w:eastAsia="方正仿宋_GBK" w:cs="方正仿宋_GBK"/>
          <w:sz w:val="32"/>
          <w:szCs w:val="32"/>
          <w:lang w:bidi="ar"/>
        </w:rPr>
        <w:t>失信惩戒</w:t>
      </w:r>
      <w:r>
        <w:rPr>
          <w:rFonts w:hint="eastAsia" w:ascii="方正仿宋_GBK" w:hAnsi="方正仿宋_GBK" w:eastAsia="方正仿宋_GBK" w:cs="方正仿宋_GBK"/>
          <w:sz w:val="32"/>
          <w:szCs w:val="32"/>
          <w:lang w:val="en-US" w:eastAsia="zh-CN" w:bidi="ar"/>
        </w:rPr>
        <w:t>-</w:t>
      </w:r>
      <w:r>
        <w:rPr>
          <w:rFonts w:hint="eastAsia" w:ascii="方正仿宋_GBK" w:hAnsi="方正仿宋_GBK" w:eastAsia="方正仿宋_GBK" w:cs="方正仿宋_GBK"/>
          <w:sz w:val="32"/>
          <w:szCs w:val="32"/>
          <w:lang w:bidi="ar"/>
        </w:rPr>
        <w:t>信用修复”的闭环监管体系。</w:t>
      </w:r>
      <w:r>
        <w:rPr>
          <w:rFonts w:hint="eastAsia" w:ascii="方正仿宋_GBK" w:hAnsi="方正仿宋_GBK" w:eastAsia="方正仿宋_GBK" w:cs="方正仿宋_GBK"/>
          <w:sz w:val="32"/>
          <w:szCs w:val="32"/>
          <w:lang w:eastAsia="zh-CN" w:bidi="ar"/>
        </w:rPr>
        <w:t>主要</w:t>
      </w:r>
      <w:r>
        <w:rPr>
          <w:rFonts w:hint="eastAsia" w:ascii="方正仿宋_GBK" w:hAnsi="方正仿宋_GBK" w:eastAsia="方正仿宋_GBK" w:cs="方正仿宋_GBK"/>
          <w:sz w:val="32"/>
          <w:szCs w:val="32"/>
          <w:lang w:bidi="ar"/>
        </w:rPr>
        <w:t>内容如下：</w:t>
      </w:r>
    </w:p>
    <w:p w14:paraId="4E163981">
      <w:pPr>
        <w:widowControl/>
        <w:overflowPunct w:val="0"/>
        <w:autoSpaceDE/>
        <w:spacing w:line="570" w:lineRule="exact"/>
        <w:ind w:firstLine="640" w:firstLineChars="200"/>
        <w:jc w:val="left"/>
        <w:rPr>
          <w:rFonts w:hint="eastAsia" w:ascii="方正仿宋_GBK" w:hAnsi="方正仿宋_GBK" w:eastAsia="方正仿宋_GBK" w:cs="方正仿宋_GBK"/>
          <w:kern w:val="0"/>
          <w:sz w:val="32"/>
          <w:szCs w:val="32"/>
          <w:highlight w:val="yellow"/>
          <w:lang w:eastAsia="zh-CN" w:bidi="ar"/>
        </w:rPr>
      </w:pPr>
      <w:r>
        <w:rPr>
          <w:rFonts w:hint="eastAsia" w:ascii="方正楷体_GBK" w:hAnsi="方正楷体_GBK" w:eastAsia="方正楷体_GBK" w:cs="方正楷体_GBK"/>
          <w:bCs/>
          <w:kern w:val="2"/>
          <w:sz w:val="32"/>
          <w:szCs w:val="32"/>
          <w:lang w:val="en-US" w:eastAsia="zh-CN" w:bidi="ar"/>
        </w:rPr>
        <w:t>一是明确管理对象和适用范围</w:t>
      </w:r>
      <w:r>
        <w:rPr>
          <w:rFonts w:hint="eastAsia" w:ascii="方正楷体_GBK" w:hAnsi="方正楷体_GBK" w:eastAsia="方正楷体_GBK" w:cs="方正楷体_GBK"/>
          <w:bCs/>
          <w:sz w:val="32"/>
          <w:szCs w:val="32"/>
          <w:lang w:bidi="ar"/>
        </w:rPr>
        <w:t>（</w:t>
      </w:r>
      <w:r>
        <w:rPr>
          <w:rFonts w:hint="eastAsia" w:ascii="方正楷体_GBK" w:hAnsi="方正楷体_GBK" w:eastAsia="方正楷体_GBK" w:cs="方正楷体_GBK"/>
          <w:sz w:val="32"/>
          <w:szCs w:val="32"/>
          <w:lang w:bidi="ar"/>
        </w:rPr>
        <w:t>第</w:t>
      </w:r>
      <w:r>
        <w:rPr>
          <w:rFonts w:hint="eastAsia" w:ascii="方正楷体_GBK" w:hAnsi="方正楷体_GBK" w:eastAsia="方正楷体_GBK" w:cs="方正楷体_GBK"/>
          <w:sz w:val="32"/>
          <w:szCs w:val="32"/>
          <w:lang w:val="en-US" w:eastAsia="zh-CN" w:bidi="ar"/>
        </w:rPr>
        <w:t>一</w:t>
      </w:r>
      <w:r>
        <w:rPr>
          <w:rFonts w:hint="eastAsia" w:ascii="方正楷体_GBK" w:hAnsi="方正楷体_GBK" w:eastAsia="方正楷体_GBK" w:cs="方正楷体_GBK"/>
          <w:sz w:val="32"/>
          <w:szCs w:val="32"/>
          <w:lang w:bidi="ar"/>
        </w:rPr>
        <w:t>条至第</w:t>
      </w:r>
      <w:r>
        <w:rPr>
          <w:rFonts w:hint="eastAsia" w:ascii="方正楷体_GBK" w:hAnsi="方正楷体_GBK" w:eastAsia="方正楷体_GBK" w:cs="方正楷体_GBK"/>
          <w:sz w:val="32"/>
          <w:szCs w:val="32"/>
          <w:lang w:val="en-US" w:eastAsia="zh-CN" w:bidi="ar"/>
        </w:rPr>
        <w:t>六</w:t>
      </w:r>
      <w:r>
        <w:rPr>
          <w:rFonts w:hint="eastAsia" w:ascii="方正楷体_GBK" w:hAnsi="方正楷体_GBK" w:eastAsia="方正楷体_GBK" w:cs="方正楷体_GBK"/>
          <w:sz w:val="32"/>
          <w:szCs w:val="32"/>
          <w:lang w:bidi="ar"/>
        </w:rPr>
        <w:t>条）</w:t>
      </w:r>
      <w:r>
        <w:rPr>
          <w:rFonts w:hint="eastAsia" w:ascii="方正楷体_GBK" w:hAnsi="方正楷体_GBK" w:eastAsia="方正楷体_GBK" w:cs="方正楷体_GBK"/>
          <w:sz w:val="32"/>
          <w:szCs w:val="32"/>
          <w:lang w:eastAsia="zh-CN" w:bidi="ar"/>
        </w:rPr>
        <w:t>。</w:t>
      </w:r>
      <w:r>
        <w:rPr>
          <w:rFonts w:hint="eastAsia" w:ascii="方正仿宋_GBK" w:hAnsi="方正仿宋_GBK" w:eastAsia="方正仿宋_GBK" w:cs="方正仿宋_GBK"/>
          <w:sz w:val="32"/>
          <w:szCs w:val="32"/>
          <w:lang w:val="en-US" w:eastAsia="zh-CN" w:bidi="ar"/>
        </w:rPr>
        <w:t>明确编制《信用管理办法》的目的依据、适用范围、主管部门的工作职责、管理对象的定义、管理原则以及行业自律的要求等内容。</w:t>
      </w:r>
    </w:p>
    <w:p w14:paraId="4C110BFD">
      <w:pPr>
        <w:widowControl/>
        <w:autoSpaceDE w:val="0"/>
        <w:spacing w:line="570" w:lineRule="exact"/>
        <w:ind w:firstLine="640" w:firstLineChars="200"/>
        <w:jc w:val="left"/>
        <w:rPr>
          <w:rFonts w:ascii="方正楷体_GBK" w:hAnsi="方正楷体_GBK" w:eastAsia="方正楷体_GBK" w:cs="方正楷体_GBK"/>
          <w:sz w:val="32"/>
          <w:szCs w:val="32"/>
          <w:lang w:bidi="ar"/>
        </w:rPr>
      </w:pPr>
      <w:r>
        <w:rPr>
          <w:rFonts w:hint="eastAsia" w:ascii="方正楷体_GBK" w:hAnsi="方正楷体_GBK" w:eastAsia="方正楷体_GBK" w:cs="方正楷体_GBK"/>
          <w:kern w:val="0"/>
          <w:sz w:val="32"/>
          <w:szCs w:val="32"/>
          <w:lang w:val="en-US" w:eastAsia="zh-CN" w:bidi="ar"/>
        </w:rPr>
        <w:t>二</w:t>
      </w:r>
      <w:r>
        <w:rPr>
          <w:rFonts w:hint="eastAsia" w:ascii="方正楷体_GBK" w:hAnsi="方正楷体_GBK" w:eastAsia="方正楷体_GBK" w:cs="方正楷体_GBK"/>
          <w:kern w:val="0"/>
          <w:sz w:val="32"/>
          <w:szCs w:val="32"/>
          <w:lang w:bidi="ar"/>
        </w:rPr>
        <w:t>是</w:t>
      </w:r>
      <w:r>
        <w:rPr>
          <w:rFonts w:hint="eastAsia" w:ascii="方正楷体_GBK" w:hAnsi="方正楷体_GBK" w:eastAsia="方正楷体_GBK" w:cs="方正楷体_GBK"/>
          <w:bCs/>
          <w:sz w:val="32"/>
          <w:szCs w:val="32"/>
        </w:rPr>
        <w:t>明确信用信息管理范围</w:t>
      </w:r>
      <w:r>
        <w:rPr>
          <w:rFonts w:hint="eastAsia" w:ascii="方正楷体_GBK" w:hAnsi="方正楷体_GBK" w:eastAsia="方正楷体_GBK" w:cs="方正楷体_GBK"/>
          <w:sz w:val="32"/>
          <w:szCs w:val="32"/>
          <w:lang w:bidi="ar"/>
        </w:rPr>
        <w:t>（第七条至第十三条）。</w:t>
      </w:r>
      <w:r>
        <w:rPr>
          <w:rFonts w:hint="eastAsia" w:ascii="方正仿宋_GBK" w:hAnsi="Times New Roman" w:eastAsia="方正仿宋_GBK"/>
          <w:sz w:val="32"/>
          <w:szCs w:val="32"/>
          <w:lang w:bidi="ar"/>
        </w:rPr>
        <w:t>界定信用信息的核心范畴，实现“底数清、信息准”，明确仅针对与建设工程消防审验技术服务活动相关的公共信用信息对从业人员开展信用管理。从业人员信用信息包括</w:t>
      </w:r>
      <w:r>
        <w:rPr>
          <w:rFonts w:hint="default" w:ascii="方正仿宋_GBK" w:hAnsi="Times New Roman" w:eastAsia="方正仿宋_GBK"/>
          <w:sz w:val="32"/>
          <w:szCs w:val="32"/>
          <w:lang w:bidi="ar"/>
        </w:rPr>
        <w:t>基础信息、正面信息、失信信息与其他信息</w:t>
      </w:r>
      <w:r>
        <w:rPr>
          <w:rFonts w:hint="eastAsia" w:ascii="方正仿宋_GBK" w:hAnsi="Times New Roman" w:eastAsia="方正仿宋_GBK"/>
          <w:sz w:val="32"/>
          <w:szCs w:val="32"/>
          <w:lang w:bidi="ar"/>
        </w:rPr>
        <w:t>等，并</w:t>
      </w:r>
      <w:r>
        <w:rPr>
          <w:rFonts w:hint="eastAsia" w:ascii="方正仿宋_GBK" w:hAnsi="Times New Roman" w:eastAsia="方正仿宋_GBK"/>
          <w:sz w:val="32"/>
          <w:szCs w:val="32"/>
          <w:lang w:val="en-US" w:eastAsia="zh-CN" w:bidi="ar"/>
        </w:rPr>
        <w:t>明确了</w:t>
      </w:r>
      <w:r>
        <w:rPr>
          <w:rFonts w:hint="eastAsia" w:ascii="方正仿宋_GBK" w:hAnsi="Times New Roman" w:eastAsia="方正仿宋_GBK"/>
          <w:sz w:val="32"/>
          <w:szCs w:val="32"/>
          <w:lang w:bidi="ar"/>
        </w:rPr>
        <w:t>从业人员涉及行政处罚的失信信息公示期</w:t>
      </w:r>
      <w:r>
        <w:rPr>
          <w:rFonts w:hint="eastAsia" w:ascii="方正仿宋_GBK" w:hAnsi="Times New Roman" w:eastAsia="方正仿宋_GBK"/>
          <w:sz w:val="32"/>
          <w:szCs w:val="32"/>
          <w:lang w:val="en-US" w:eastAsia="zh-CN" w:bidi="ar"/>
        </w:rPr>
        <w:t>期限</w:t>
      </w:r>
      <w:r>
        <w:rPr>
          <w:rFonts w:hint="eastAsia" w:ascii="方正仿宋_GBK" w:hAnsi="Times New Roman" w:eastAsia="方正仿宋_GBK"/>
          <w:sz w:val="32"/>
          <w:szCs w:val="32"/>
          <w:lang w:bidi="ar"/>
        </w:rPr>
        <w:t>。</w:t>
      </w:r>
    </w:p>
    <w:p w14:paraId="7232E20C">
      <w:pPr>
        <w:widowControl/>
        <w:autoSpaceDE w:val="0"/>
        <w:spacing w:line="570" w:lineRule="exact"/>
        <w:ind w:firstLine="640" w:firstLineChars="200"/>
        <w:rPr>
          <w:rFonts w:ascii="方正仿宋_GBK" w:hAnsi="Times New Roman" w:eastAsia="方正仿宋_GBK"/>
          <w:sz w:val="32"/>
          <w:szCs w:val="32"/>
          <w:lang w:bidi="ar"/>
        </w:rPr>
      </w:pPr>
      <w:r>
        <w:rPr>
          <w:rFonts w:hint="eastAsia" w:ascii="方正楷体_GBK" w:hAnsi="方正楷体_GBK" w:eastAsia="方正楷体_GBK" w:cs="方正楷体_GBK"/>
          <w:sz w:val="32"/>
          <w:szCs w:val="32"/>
          <w:lang w:val="en-US" w:eastAsia="zh-CN" w:bidi="ar"/>
        </w:rPr>
        <w:t>三</w:t>
      </w:r>
      <w:r>
        <w:rPr>
          <w:rFonts w:hint="eastAsia" w:ascii="方正楷体_GBK" w:hAnsi="方正楷体_GBK" w:eastAsia="方正楷体_GBK" w:cs="方正楷体_GBK"/>
          <w:sz w:val="32"/>
          <w:szCs w:val="32"/>
          <w:lang w:bidi="ar"/>
        </w:rPr>
        <w:t>是规范失信行为认定路径（第十四条至第十</w:t>
      </w:r>
      <w:r>
        <w:rPr>
          <w:rFonts w:hint="eastAsia" w:ascii="方正楷体_GBK" w:hAnsi="方正楷体_GBK" w:eastAsia="方正楷体_GBK" w:cs="方正楷体_GBK"/>
          <w:sz w:val="32"/>
          <w:szCs w:val="32"/>
          <w:lang w:val="en-US" w:eastAsia="zh-CN" w:bidi="ar"/>
        </w:rPr>
        <w:t>九</w:t>
      </w:r>
      <w:r>
        <w:rPr>
          <w:rFonts w:hint="eastAsia" w:ascii="方正楷体_GBK" w:hAnsi="方正楷体_GBK" w:eastAsia="方正楷体_GBK" w:cs="方正楷体_GBK"/>
          <w:sz w:val="32"/>
          <w:szCs w:val="32"/>
          <w:lang w:bidi="ar"/>
        </w:rPr>
        <w:t>条）。</w:t>
      </w:r>
      <w:r>
        <w:rPr>
          <w:rFonts w:hint="eastAsia" w:ascii="方正仿宋_GBK" w:hAnsi="Times New Roman" w:eastAsia="方正仿宋_GBK"/>
          <w:sz w:val="32"/>
          <w:szCs w:val="32"/>
          <w:lang w:bidi="ar"/>
        </w:rPr>
        <w:t>细化失信分类，明确了认定依据，确保</w:t>
      </w:r>
      <w:r>
        <w:rPr>
          <w:rFonts w:ascii="方正仿宋_GBK" w:hAnsi="Times New Roman" w:eastAsia="方正仿宋_GBK"/>
          <w:sz w:val="32"/>
          <w:szCs w:val="32"/>
          <w:lang w:bidi="ar"/>
        </w:rPr>
        <w:t xml:space="preserve"> “</w:t>
      </w:r>
      <w:r>
        <w:rPr>
          <w:rFonts w:hint="eastAsia" w:ascii="方正仿宋_GBK" w:hAnsi="Times New Roman" w:eastAsia="方正仿宋_GBK"/>
          <w:sz w:val="32"/>
          <w:szCs w:val="32"/>
          <w:lang w:bidi="ar"/>
        </w:rPr>
        <w:t>标准统一、程序合法”，将从业人员失信行为区分为</w:t>
      </w:r>
      <w:r>
        <w:rPr>
          <w:rFonts w:hint="default" w:ascii="方正仿宋_GBK" w:hAnsi="Times New Roman" w:eastAsia="方正仿宋_GBK"/>
          <w:sz w:val="32"/>
          <w:szCs w:val="32"/>
          <w:lang w:bidi="ar"/>
        </w:rPr>
        <w:t>一般失信行为和严重失信行为</w:t>
      </w:r>
      <w:r>
        <w:rPr>
          <w:rFonts w:hint="eastAsia" w:ascii="方正仿宋_GBK" w:hAnsi="Times New Roman" w:eastAsia="方正仿宋_GBK"/>
          <w:sz w:val="32"/>
          <w:szCs w:val="32"/>
          <w:lang w:bidi="ar"/>
        </w:rPr>
        <w:t>，并探索统一了两类失信行为的认定标准，完善了失信认定流程，构建了科学、严谨的失信行为认定机制，有效保障失信认定过程的合法性与公正性。</w:t>
      </w:r>
    </w:p>
    <w:p w14:paraId="2DF0A830">
      <w:pPr>
        <w:widowControl/>
        <w:autoSpaceDE w:val="0"/>
        <w:spacing w:line="570" w:lineRule="exact"/>
        <w:ind w:firstLine="640" w:firstLineChars="200"/>
        <w:rPr>
          <w:rFonts w:hint="default" w:ascii="方正仿宋_GBK" w:hAnsi="Times New Roman" w:eastAsia="方正仿宋_GBK"/>
          <w:sz w:val="32"/>
          <w:szCs w:val="32"/>
          <w:lang w:val="en-US" w:eastAsia="zh-CN" w:bidi="ar"/>
        </w:rPr>
      </w:pPr>
      <w:r>
        <w:rPr>
          <w:rFonts w:hint="eastAsia" w:ascii="方正楷体_GBK" w:hAnsi="方正楷体_GBK" w:eastAsia="方正楷体_GBK" w:cs="方正楷体_GBK"/>
          <w:sz w:val="32"/>
          <w:szCs w:val="32"/>
          <w:lang w:val="en-US" w:eastAsia="zh-CN" w:bidi="ar"/>
        </w:rPr>
        <w:t>四</w:t>
      </w:r>
      <w:r>
        <w:rPr>
          <w:rFonts w:hint="eastAsia" w:ascii="方正楷体_GBK" w:hAnsi="方正楷体_GBK" w:eastAsia="方正楷体_GBK" w:cs="方正楷体_GBK"/>
          <w:sz w:val="32"/>
          <w:szCs w:val="32"/>
          <w:lang w:bidi="ar"/>
        </w:rPr>
        <w:t>是细化失信惩戒措施（第</w:t>
      </w:r>
      <w:r>
        <w:rPr>
          <w:rFonts w:hint="eastAsia" w:ascii="方正楷体_GBK" w:hAnsi="方正楷体_GBK" w:eastAsia="方正楷体_GBK" w:cs="方正楷体_GBK"/>
          <w:sz w:val="32"/>
          <w:szCs w:val="32"/>
          <w:lang w:val="en-US" w:eastAsia="zh-CN" w:bidi="ar"/>
        </w:rPr>
        <w:t>二十</w:t>
      </w:r>
      <w:r>
        <w:rPr>
          <w:rFonts w:hint="eastAsia" w:ascii="方正楷体_GBK" w:hAnsi="方正楷体_GBK" w:eastAsia="方正楷体_GBK" w:cs="方正楷体_GBK"/>
          <w:sz w:val="32"/>
          <w:szCs w:val="32"/>
          <w:lang w:bidi="ar"/>
        </w:rPr>
        <w:t>条至第二十</w:t>
      </w:r>
      <w:r>
        <w:rPr>
          <w:rFonts w:hint="eastAsia" w:ascii="方正楷体_GBK" w:hAnsi="方正楷体_GBK" w:eastAsia="方正楷体_GBK" w:cs="方正楷体_GBK"/>
          <w:sz w:val="32"/>
          <w:szCs w:val="32"/>
          <w:lang w:val="en-US" w:eastAsia="zh-CN" w:bidi="ar"/>
        </w:rPr>
        <w:t>三</w:t>
      </w:r>
      <w:r>
        <w:rPr>
          <w:rFonts w:hint="eastAsia" w:ascii="方正楷体_GBK" w:hAnsi="方正楷体_GBK" w:eastAsia="方正楷体_GBK" w:cs="方正楷体_GBK"/>
          <w:sz w:val="32"/>
          <w:szCs w:val="32"/>
          <w:lang w:bidi="ar"/>
        </w:rPr>
        <w:t>条）。</w:t>
      </w:r>
      <w:r>
        <w:rPr>
          <w:rFonts w:hint="eastAsia" w:ascii="方正仿宋_GBK" w:hAnsi="Times New Roman" w:eastAsia="方正仿宋_GBK"/>
          <w:sz w:val="32"/>
          <w:szCs w:val="32"/>
          <w:lang w:bidi="ar"/>
        </w:rPr>
        <w:t>遵循</w:t>
      </w:r>
      <w:r>
        <w:rPr>
          <w:rFonts w:ascii="方正仿宋_GBK" w:hAnsi="Times New Roman" w:eastAsia="方正仿宋_GBK"/>
          <w:sz w:val="32"/>
          <w:szCs w:val="32"/>
          <w:lang w:bidi="ar"/>
        </w:rPr>
        <w:t>“</w:t>
      </w:r>
      <w:r>
        <w:rPr>
          <w:rFonts w:hint="eastAsia" w:ascii="方正仿宋_GBK" w:hAnsi="Times New Roman" w:eastAsia="方正仿宋_GBK"/>
          <w:sz w:val="32"/>
          <w:szCs w:val="32"/>
          <w:lang w:bidi="ar"/>
        </w:rPr>
        <w:t>过惩相当”原则，对从业人员失信惩戒做到“分类施策、梯度惩戒”，区分</w:t>
      </w:r>
      <w:r>
        <w:rPr>
          <w:rFonts w:hint="default" w:ascii="方正仿宋_GBK" w:hAnsi="Times New Roman" w:eastAsia="方正仿宋_GBK"/>
          <w:sz w:val="32"/>
          <w:szCs w:val="32"/>
          <w:lang w:bidi="ar"/>
        </w:rPr>
        <w:t>一般失信与严重失信</w:t>
      </w:r>
      <w:r>
        <w:rPr>
          <w:rFonts w:hint="eastAsia" w:ascii="方正仿宋_GBK" w:hAnsi="Times New Roman" w:eastAsia="方正仿宋_GBK"/>
          <w:sz w:val="32"/>
          <w:szCs w:val="32"/>
          <w:lang w:bidi="ar"/>
        </w:rPr>
        <w:t>，依据国家及江苏省失信惩戒措施清单及相关法律法规设定差异化惩戒措施，建立对失信从业人员在一定时限内连续的从业限制管控机制，同时强调对列入严重失信主体名单的从业人员实施联合惩戒。</w:t>
      </w:r>
    </w:p>
    <w:p w14:paraId="64F5D119">
      <w:pPr>
        <w:spacing w:line="560" w:lineRule="exact"/>
        <w:ind w:firstLine="640" w:firstLineChars="200"/>
        <w:rPr>
          <w:rFonts w:ascii="方正仿宋_GBK" w:hAnsi="Times New Roman" w:eastAsia="方正仿宋_GBK"/>
          <w:sz w:val="32"/>
          <w:szCs w:val="32"/>
          <w:lang w:bidi="ar"/>
        </w:rPr>
      </w:pPr>
      <w:r>
        <w:rPr>
          <w:rFonts w:hint="eastAsia" w:ascii="方正楷体_GBK" w:hAnsi="方正楷体_GBK" w:eastAsia="方正楷体_GBK" w:cs="方正楷体_GBK"/>
          <w:sz w:val="32"/>
          <w:szCs w:val="32"/>
          <w:lang w:val="en-US" w:eastAsia="zh-CN" w:bidi="ar"/>
        </w:rPr>
        <w:t>五</w:t>
      </w:r>
      <w:r>
        <w:rPr>
          <w:rFonts w:hint="eastAsia" w:ascii="方正楷体_GBK" w:hAnsi="方正楷体_GBK" w:eastAsia="方正楷体_GBK" w:cs="方正楷体_GBK"/>
          <w:sz w:val="32"/>
          <w:szCs w:val="32"/>
          <w:lang w:bidi="ar"/>
        </w:rPr>
        <w:t>是完善信用修复机制（第二十</w:t>
      </w:r>
      <w:r>
        <w:rPr>
          <w:rFonts w:hint="eastAsia" w:ascii="方正楷体_GBK" w:hAnsi="方正楷体_GBK" w:eastAsia="方正楷体_GBK" w:cs="方正楷体_GBK"/>
          <w:sz w:val="32"/>
          <w:szCs w:val="32"/>
          <w:lang w:val="en-US" w:eastAsia="zh-CN" w:bidi="ar"/>
        </w:rPr>
        <w:t>四</w:t>
      </w:r>
      <w:r>
        <w:rPr>
          <w:rFonts w:hint="eastAsia" w:ascii="方正楷体_GBK" w:hAnsi="方正楷体_GBK" w:eastAsia="方正楷体_GBK" w:cs="方正楷体_GBK"/>
          <w:sz w:val="32"/>
          <w:szCs w:val="32"/>
          <w:lang w:bidi="ar"/>
        </w:rPr>
        <w:t>条至第三十</w:t>
      </w:r>
      <w:r>
        <w:rPr>
          <w:rFonts w:hint="eastAsia" w:ascii="方正楷体_GBK" w:hAnsi="方正楷体_GBK" w:eastAsia="方正楷体_GBK" w:cs="方正楷体_GBK"/>
          <w:sz w:val="32"/>
          <w:szCs w:val="32"/>
          <w:lang w:val="en-US" w:eastAsia="zh-CN" w:bidi="ar"/>
        </w:rPr>
        <w:t>一</w:t>
      </w:r>
      <w:r>
        <w:rPr>
          <w:rFonts w:hint="eastAsia" w:ascii="方正楷体_GBK" w:hAnsi="方正楷体_GBK" w:eastAsia="方正楷体_GBK" w:cs="方正楷体_GBK"/>
          <w:sz w:val="32"/>
          <w:szCs w:val="32"/>
          <w:lang w:bidi="ar"/>
        </w:rPr>
        <w:t>条）。</w:t>
      </w:r>
      <w:r>
        <w:rPr>
          <w:rFonts w:hint="eastAsia" w:ascii="方正仿宋_GBK" w:hAnsi="Times New Roman" w:eastAsia="方正仿宋_GBK"/>
          <w:sz w:val="32"/>
          <w:szCs w:val="32"/>
          <w:lang w:bidi="ar"/>
        </w:rPr>
        <w:t>充分体现“惩教结合、激励重塑”，规定失信信息最短公示期满后相关失信从业人员可申请信用修复，修复方式包括移出严重失信主体名单、终止公示失信信息，并细化了相关材料要求及主管部门办理要求等。同时要求</w:t>
      </w:r>
      <w:r>
        <w:rPr>
          <w:rFonts w:ascii="方正仿宋_GBK" w:hAnsi="Times New Roman" w:eastAsia="方正仿宋_GBK"/>
          <w:sz w:val="32"/>
          <w:szCs w:val="32"/>
        </w:rPr>
        <w:t>住房和城乡建设行政主管部门应建立健全信用信息异议申诉制度，</w:t>
      </w:r>
      <w:r>
        <w:rPr>
          <w:rFonts w:hint="eastAsia" w:ascii="方正仿宋_GBK" w:hAnsi="Times New Roman" w:eastAsia="方正仿宋_GBK"/>
          <w:sz w:val="32"/>
          <w:szCs w:val="32"/>
        </w:rPr>
        <w:t>强调对相关失信从业人员的</w:t>
      </w:r>
      <w:r>
        <w:rPr>
          <w:rFonts w:ascii="方正仿宋_GBK" w:hAnsi="Times New Roman" w:eastAsia="方正仿宋_GBK"/>
          <w:sz w:val="32"/>
          <w:szCs w:val="32"/>
        </w:rPr>
        <w:t>权益保护</w:t>
      </w:r>
      <w:r>
        <w:rPr>
          <w:rFonts w:hint="eastAsia" w:ascii="方正仿宋_GBK" w:hAnsi="Times New Roman" w:eastAsia="方正仿宋_GBK"/>
          <w:sz w:val="32"/>
          <w:szCs w:val="32"/>
        </w:rPr>
        <w:t>。</w:t>
      </w:r>
    </w:p>
    <w:p w14:paraId="25733536">
      <w:pPr>
        <w:overflowPunct w:val="0"/>
        <w:spacing w:line="570" w:lineRule="exact"/>
        <w:rPr>
          <w:rFonts w:ascii="方正仿宋_GBK" w:hAnsi="方正仿宋_GBK" w:eastAsia="方正仿宋_GBK" w:cs="方正仿宋_GBK"/>
          <w:sz w:val="32"/>
          <w:szCs w:val="32"/>
        </w:rPr>
      </w:pPr>
    </w:p>
    <w:sectPr>
      <w:footerReference r:id="rId3" w:type="default"/>
      <w:pgSz w:w="11906" w:h="16838"/>
      <w:pgMar w:top="2098" w:right="1474" w:bottom="1984" w:left="1587" w:header="1020" w:footer="1587"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Liberation Sans">
    <w:altName w:val="Noto Sans SC"/>
    <w:panose1 w:val="00000000000000000000"/>
    <w:charset w:val="00"/>
    <w:family w:val="swiss"/>
    <w:pitch w:val="default"/>
    <w:sig w:usb0="00000000" w:usb1="00000000" w:usb2="00000000" w:usb3="00000000" w:csb0="00040001" w:csb1="00000000"/>
  </w:font>
  <w:font w:name="Noto Sans SC">
    <w:panose1 w:val="020B0200000000000000"/>
    <w:charset w:val="86"/>
    <w:family w:val="auto"/>
    <w:pitch w:val="default"/>
    <w:sig w:usb0="20000083" w:usb1="2ADF3C10" w:usb2="00000016" w:usb3="00000000" w:csb0="60060107" w:csb1="00000000"/>
  </w:font>
  <w:font w:name="Saturday Sans Regular">
    <w:altName w:val="宋体"/>
    <w:panose1 w:val="00000000000000000000"/>
    <w:charset w:val="86"/>
    <w:family w:val="auto"/>
    <w:pitch w:val="default"/>
    <w:sig w:usb0="00000000" w:usb1="0000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BF6FC1C">
    <w:pPr>
      <w:pStyle w:val="9"/>
      <w:rPr>
        <w:rFonts w:ascii="宋体" w:hAnsi="宋体" w:cs="宋体"/>
        <w:sz w:val="28"/>
        <w:szCs w:val="28"/>
      </w:rPr>
    </w:pPr>
    <w:r>
      <w:rPr>
        <w:sz w:val="28"/>
      </w:rPr>
      <mc:AlternateContent>
        <mc:Choice Requires="wps">
          <w:drawing>
            <wp:anchor distT="0" distB="0" distL="0" distR="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097" name="文本框 1"/>
              <wp:cNvGraphicFramePr/>
              <a:graphic xmlns:a="http://schemas.openxmlformats.org/drawingml/2006/main">
                <a:graphicData uri="http://schemas.microsoft.com/office/word/2010/wordprocessingShape">
                  <wps:wsp>
                    <wps:cNvSpPr/>
                    <wps:spPr>
                      <a:xfrm>
                        <a:off x="0" y="0"/>
                        <a:ext cx="1828800" cy="1828800"/>
                      </a:xfrm>
                      <a:prstGeom prst="rect">
                        <a:avLst/>
                      </a:prstGeom>
                      <a:ln>
                        <a:noFill/>
                      </a:ln>
                    </wps:spPr>
                    <wps:txbx>
                      <w:txbxContent>
                        <w:p w14:paraId="3AAAD3A2">
                          <w:pPr>
                            <w:pStyle w:val="9"/>
                          </w:pPr>
                          <w:r>
                            <w:rPr>
                              <w:rFonts w:hint="eastAsia" w:ascii="宋体" w:hAnsi="宋体" w:cs="宋体"/>
                              <w:sz w:val="28"/>
                              <w:szCs w:val="28"/>
                            </w:rPr>
                            <w:t>—</w:t>
                          </w:r>
                          <w:r>
                            <w:rPr>
                              <w:rFonts w:ascii="宋体" w:hAnsi="宋体" w:cs="宋体"/>
                              <w:sz w:val="28"/>
                              <w:szCs w:val="28"/>
                            </w:rPr>
                            <w:t xml:space="preserve"> </w:t>
                          </w:r>
                          <w:r>
                            <w:rPr>
                              <w:rFonts w:hint="eastAsia" w:ascii="宋体" w:hAnsi="宋体" w:cs="宋体"/>
                              <w:sz w:val="28"/>
                              <w:szCs w:val="28"/>
                            </w:rPr>
                            <w:fldChar w:fldCharType="begin"/>
                          </w:r>
                          <w:r>
                            <w:rPr>
                              <w:rFonts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ascii="宋体" w:hAnsi="宋体" w:cs="宋体"/>
                              <w:sz w:val="28"/>
                              <w:szCs w:val="28"/>
                            </w:rPr>
                            <w:t xml:space="preserve"> </w:t>
                          </w:r>
                          <w:r>
                            <w:rPr>
                              <w:rFonts w:hint="eastAsia" w:ascii="宋体" w:hAnsi="宋体" w:cs="宋体"/>
                              <w:sz w:val="28"/>
                              <w:szCs w:val="28"/>
                            </w:rPr>
                            <w:t>—</w:t>
                          </w:r>
                        </w:p>
                      </w:txbxContent>
                    </wps:txbx>
                    <wps:bodyPr wrap="none" lIns="0" tIns="0" rIns="0" bIns="0" upright="1">
                      <a:spAutoFit/>
                    </wps:bodyPr>
                  </wps:wsp>
                </a:graphicData>
              </a:graphic>
            </wp:anchor>
          </w:drawing>
        </mc:Choice>
        <mc:Fallback>
          <w:pict>
            <v:rect id="文本框 1" o:spid="_x0000_s1026" o:spt="1"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C5dblS0AAAAAUBAAAPAAAAAAAAAAEAIAAAACIAAABkcnMvZG93bnJldi54bWxQSwEC&#10;FAAUAAAACACHTuJAT0m7K8MBAACHAwAADgAAAAAAAAABACAAAAAfAQAAZHJzL2Uyb0RvYy54bWxQ&#10;SwUGAAAAAAYABgBZAQAAVAUAAAAA&#10;">
              <v:fill on="f" focussize="0,0"/>
              <v:stroke on="f"/>
              <v:imagedata o:title=""/>
              <o:lock v:ext="edit" aspectratio="f"/>
              <v:textbox inset="0mm,0mm,0mm,0mm" style="mso-fit-shape-to-text:t;">
                <w:txbxContent>
                  <w:p w14:paraId="3AAAD3A2">
                    <w:pPr>
                      <w:pStyle w:val="9"/>
                    </w:pPr>
                    <w:r>
                      <w:rPr>
                        <w:rFonts w:hint="eastAsia" w:ascii="宋体" w:hAnsi="宋体" w:cs="宋体"/>
                        <w:sz w:val="28"/>
                        <w:szCs w:val="28"/>
                      </w:rPr>
                      <w:t>—</w:t>
                    </w:r>
                    <w:r>
                      <w:rPr>
                        <w:rFonts w:ascii="宋体" w:hAnsi="宋体" w:cs="宋体"/>
                        <w:sz w:val="28"/>
                        <w:szCs w:val="28"/>
                      </w:rPr>
                      <w:t xml:space="preserve"> </w:t>
                    </w:r>
                    <w:r>
                      <w:rPr>
                        <w:rFonts w:hint="eastAsia" w:ascii="宋体" w:hAnsi="宋体" w:cs="宋体"/>
                        <w:sz w:val="28"/>
                        <w:szCs w:val="28"/>
                      </w:rPr>
                      <w:fldChar w:fldCharType="begin"/>
                    </w:r>
                    <w:r>
                      <w:rPr>
                        <w:rFonts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ascii="宋体" w:hAnsi="宋体" w:cs="宋体"/>
                        <w:sz w:val="28"/>
                        <w:szCs w:val="28"/>
                      </w:rPr>
                      <w:t xml:space="preserve"> </w:t>
                    </w:r>
                    <w:r>
                      <w:rPr>
                        <w:rFonts w:hint="eastAsia" w:ascii="宋体" w:hAnsi="宋体" w:cs="宋体"/>
                        <w:sz w:val="28"/>
                        <w:szCs w:val="28"/>
                      </w:rPr>
                      <w:t>—</w:t>
                    </w:r>
                  </w:p>
                </w:txbxContent>
              </v:textbox>
            </v:rect>
          </w:pict>
        </mc:Fallback>
      </mc:AlternateContent>
    </w:r>
  </w:p>
  <w:p w14:paraId="187FC77E">
    <w:pPr>
      <w:pStyle w:val="9"/>
      <w:rPr>
        <w:rFonts w:ascii="宋体" w:hAnsi="宋体" w:cs="宋体"/>
        <w:sz w:val="28"/>
        <w:szCs w:val="28"/>
      </w:rP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9C23935"/>
    <w:multiLevelType w:val="singleLevel"/>
    <w:tmpl w:val="49C23935"/>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displayBackgroundShape w:val="1"/>
  <w:bordersDoNotSurroundHeader w:val="1"/>
  <w:bordersDoNotSurroundFooter w:val="1"/>
  <w:trackRevisions w:val="1"/>
  <w:documentProtection w:enforcement="0"/>
  <w:defaultTabStop w:val="420"/>
  <w:drawingGridHorizontalSpacing w:val="1"/>
  <w:drawingGridVerticalSpacing w:val="1"/>
  <w:doNotUseMarginsForDrawingGridOrigin w:val="1"/>
  <w:drawingGridHorizontalOrigin w:val="0"/>
  <w:drawingGridVerticalOrigin w:val="0"/>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MzNjRjMjFhYTY1MjU1MjZhNzFkNmM0MTQwMzdjZjMifQ=="/>
  </w:docVars>
  <w:rsids>
    <w:rsidRoot w:val="00046451"/>
    <w:rsid w:val="000106E6"/>
    <w:rsid w:val="00046451"/>
    <w:rsid w:val="00053535"/>
    <w:rsid w:val="0007277A"/>
    <w:rsid w:val="000A4294"/>
    <w:rsid w:val="000B51D0"/>
    <w:rsid w:val="000C5560"/>
    <w:rsid w:val="000D7E7B"/>
    <w:rsid w:val="00167744"/>
    <w:rsid w:val="00180EAB"/>
    <w:rsid w:val="00251F8C"/>
    <w:rsid w:val="00363727"/>
    <w:rsid w:val="003F265D"/>
    <w:rsid w:val="00430A06"/>
    <w:rsid w:val="00457E1D"/>
    <w:rsid w:val="00463537"/>
    <w:rsid w:val="00516956"/>
    <w:rsid w:val="0054743A"/>
    <w:rsid w:val="0055544A"/>
    <w:rsid w:val="00604E87"/>
    <w:rsid w:val="006D7543"/>
    <w:rsid w:val="00874E9E"/>
    <w:rsid w:val="008B7D62"/>
    <w:rsid w:val="008D1E9F"/>
    <w:rsid w:val="008F41EE"/>
    <w:rsid w:val="0098765B"/>
    <w:rsid w:val="009C4B79"/>
    <w:rsid w:val="009F2B9C"/>
    <w:rsid w:val="00A9243D"/>
    <w:rsid w:val="00B111B3"/>
    <w:rsid w:val="00B87D16"/>
    <w:rsid w:val="00BC224C"/>
    <w:rsid w:val="00BD7827"/>
    <w:rsid w:val="00C624A7"/>
    <w:rsid w:val="00CE6923"/>
    <w:rsid w:val="00D87FD4"/>
    <w:rsid w:val="00EE6BE2"/>
    <w:rsid w:val="00FF4D04"/>
    <w:rsid w:val="013438C9"/>
    <w:rsid w:val="01B105B0"/>
    <w:rsid w:val="01DE14F7"/>
    <w:rsid w:val="02056D00"/>
    <w:rsid w:val="026E5046"/>
    <w:rsid w:val="027C43B1"/>
    <w:rsid w:val="03505229"/>
    <w:rsid w:val="03A81BB0"/>
    <w:rsid w:val="03D91BC3"/>
    <w:rsid w:val="041C0FD1"/>
    <w:rsid w:val="042555CA"/>
    <w:rsid w:val="066C7B70"/>
    <w:rsid w:val="07373DFF"/>
    <w:rsid w:val="076B3AA9"/>
    <w:rsid w:val="07CA6A21"/>
    <w:rsid w:val="089B6C4C"/>
    <w:rsid w:val="099168C1"/>
    <w:rsid w:val="09935B56"/>
    <w:rsid w:val="0A497C05"/>
    <w:rsid w:val="0B474981"/>
    <w:rsid w:val="0BEB772C"/>
    <w:rsid w:val="0C6A432F"/>
    <w:rsid w:val="0CB90700"/>
    <w:rsid w:val="0CD11937"/>
    <w:rsid w:val="0D113715"/>
    <w:rsid w:val="0D42705A"/>
    <w:rsid w:val="0D610FB7"/>
    <w:rsid w:val="0DAD4881"/>
    <w:rsid w:val="0DBD1298"/>
    <w:rsid w:val="0E0D69AB"/>
    <w:rsid w:val="0F2708CC"/>
    <w:rsid w:val="115832F0"/>
    <w:rsid w:val="11B830C7"/>
    <w:rsid w:val="11E15093"/>
    <w:rsid w:val="13B2714A"/>
    <w:rsid w:val="13BE47BB"/>
    <w:rsid w:val="141F1C88"/>
    <w:rsid w:val="16624B9D"/>
    <w:rsid w:val="17F73F68"/>
    <w:rsid w:val="185216F6"/>
    <w:rsid w:val="187D0152"/>
    <w:rsid w:val="1912647A"/>
    <w:rsid w:val="1946585D"/>
    <w:rsid w:val="1A1E4E89"/>
    <w:rsid w:val="1B3D71C1"/>
    <w:rsid w:val="1C463390"/>
    <w:rsid w:val="1CEE7F4B"/>
    <w:rsid w:val="1D271DC8"/>
    <w:rsid w:val="1D690A4F"/>
    <w:rsid w:val="1DFB128B"/>
    <w:rsid w:val="1E030FA5"/>
    <w:rsid w:val="1E7159F1"/>
    <w:rsid w:val="1E77502B"/>
    <w:rsid w:val="1F344FAE"/>
    <w:rsid w:val="1FA0658E"/>
    <w:rsid w:val="1FF8416F"/>
    <w:rsid w:val="20692E24"/>
    <w:rsid w:val="20851EB3"/>
    <w:rsid w:val="20D222D9"/>
    <w:rsid w:val="20E039F5"/>
    <w:rsid w:val="20F841A8"/>
    <w:rsid w:val="210A7A37"/>
    <w:rsid w:val="210E5779"/>
    <w:rsid w:val="217F370B"/>
    <w:rsid w:val="218B4B39"/>
    <w:rsid w:val="218C669E"/>
    <w:rsid w:val="219D77D1"/>
    <w:rsid w:val="21CB5418"/>
    <w:rsid w:val="21DA0EB8"/>
    <w:rsid w:val="220362FE"/>
    <w:rsid w:val="220D35B6"/>
    <w:rsid w:val="23C32038"/>
    <w:rsid w:val="23EA5736"/>
    <w:rsid w:val="2509784F"/>
    <w:rsid w:val="256A3B26"/>
    <w:rsid w:val="25733DFD"/>
    <w:rsid w:val="259439FC"/>
    <w:rsid w:val="26695200"/>
    <w:rsid w:val="26C11862"/>
    <w:rsid w:val="2834121D"/>
    <w:rsid w:val="286538A1"/>
    <w:rsid w:val="289E7A8D"/>
    <w:rsid w:val="28F45FB9"/>
    <w:rsid w:val="28F7523D"/>
    <w:rsid w:val="29033931"/>
    <w:rsid w:val="29264A95"/>
    <w:rsid w:val="2A0719B2"/>
    <w:rsid w:val="2BC80D88"/>
    <w:rsid w:val="2CB03B88"/>
    <w:rsid w:val="2D524C38"/>
    <w:rsid w:val="2DB03708"/>
    <w:rsid w:val="2DCE2225"/>
    <w:rsid w:val="2FE204FD"/>
    <w:rsid w:val="2FF00F8F"/>
    <w:rsid w:val="31284C5A"/>
    <w:rsid w:val="31376D8A"/>
    <w:rsid w:val="316867E0"/>
    <w:rsid w:val="32630039"/>
    <w:rsid w:val="32B54BC2"/>
    <w:rsid w:val="32D422BA"/>
    <w:rsid w:val="33120057"/>
    <w:rsid w:val="33C40B78"/>
    <w:rsid w:val="34B706FF"/>
    <w:rsid w:val="34FD195E"/>
    <w:rsid w:val="35867B7C"/>
    <w:rsid w:val="373D24BC"/>
    <w:rsid w:val="37983B97"/>
    <w:rsid w:val="38277518"/>
    <w:rsid w:val="38973549"/>
    <w:rsid w:val="391B5BD4"/>
    <w:rsid w:val="39217148"/>
    <w:rsid w:val="392A226F"/>
    <w:rsid w:val="3A267FED"/>
    <w:rsid w:val="3A9F496A"/>
    <w:rsid w:val="3AE55345"/>
    <w:rsid w:val="3BF71E06"/>
    <w:rsid w:val="3C2B6D87"/>
    <w:rsid w:val="3C7605E9"/>
    <w:rsid w:val="3CCE6E31"/>
    <w:rsid w:val="3E522099"/>
    <w:rsid w:val="3EF830CB"/>
    <w:rsid w:val="3F942E96"/>
    <w:rsid w:val="40D71069"/>
    <w:rsid w:val="41012A9F"/>
    <w:rsid w:val="412C5A7C"/>
    <w:rsid w:val="414A4154"/>
    <w:rsid w:val="42DE3889"/>
    <w:rsid w:val="42FE0D52"/>
    <w:rsid w:val="433B2AF4"/>
    <w:rsid w:val="433B3FB2"/>
    <w:rsid w:val="449C0CF8"/>
    <w:rsid w:val="44F06DC0"/>
    <w:rsid w:val="46AA33FA"/>
    <w:rsid w:val="46B362F7"/>
    <w:rsid w:val="47095F17"/>
    <w:rsid w:val="47363DFC"/>
    <w:rsid w:val="475874FB"/>
    <w:rsid w:val="4783216D"/>
    <w:rsid w:val="47B73FB3"/>
    <w:rsid w:val="480212E4"/>
    <w:rsid w:val="48897310"/>
    <w:rsid w:val="48C4633D"/>
    <w:rsid w:val="49423962"/>
    <w:rsid w:val="498C6EB8"/>
    <w:rsid w:val="49C3575B"/>
    <w:rsid w:val="49F724EB"/>
    <w:rsid w:val="4A43418C"/>
    <w:rsid w:val="4A926E8A"/>
    <w:rsid w:val="4B2D29F5"/>
    <w:rsid w:val="4B7F0E9E"/>
    <w:rsid w:val="4C9647D4"/>
    <w:rsid w:val="4DBA116E"/>
    <w:rsid w:val="4DCA3B12"/>
    <w:rsid w:val="4E1D4013"/>
    <w:rsid w:val="4E296E9F"/>
    <w:rsid w:val="4EE2777A"/>
    <w:rsid w:val="4F102206"/>
    <w:rsid w:val="4F781E8C"/>
    <w:rsid w:val="4FD31560"/>
    <w:rsid w:val="4FDC1BE5"/>
    <w:rsid w:val="508F1B83"/>
    <w:rsid w:val="509A136D"/>
    <w:rsid w:val="518E4305"/>
    <w:rsid w:val="52EA6919"/>
    <w:rsid w:val="5374275A"/>
    <w:rsid w:val="544546D8"/>
    <w:rsid w:val="546B1FBF"/>
    <w:rsid w:val="547F3CBD"/>
    <w:rsid w:val="5531145B"/>
    <w:rsid w:val="56694C24"/>
    <w:rsid w:val="568E039C"/>
    <w:rsid w:val="56A03254"/>
    <w:rsid w:val="56A95021"/>
    <w:rsid w:val="56C478C1"/>
    <w:rsid w:val="573777DC"/>
    <w:rsid w:val="57E85A2C"/>
    <w:rsid w:val="57F92BBA"/>
    <w:rsid w:val="586645F9"/>
    <w:rsid w:val="58F44DCA"/>
    <w:rsid w:val="59162E41"/>
    <w:rsid w:val="591968B2"/>
    <w:rsid w:val="593E122A"/>
    <w:rsid w:val="59B946E9"/>
    <w:rsid w:val="59F842F5"/>
    <w:rsid w:val="59FB3EC7"/>
    <w:rsid w:val="5A0D0BE2"/>
    <w:rsid w:val="5A236E98"/>
    <w:rsid w:val="5B1A473F"/>
    <w:rsid w:val="5C72792F"/>
    <w:rsid w:val="5CBD5B3E"/>
    <w:rsid w:val="5CCA06F9"/>
    <w:rsid w:val="5CDC7EFE"/>
    <w:rsid w:val="5D4267E5"/>
    <w:rsid w:val="5DE61BC9"/>
    <w:rsid w:val="5E463B9F"/>
    <w:rsid w:val="5EBE53E1"/>
    <w:rsid w:val="5EEA636E"/>
    <w:rsid w:val="5FD77E89"/>
    <w:rsid w:val="5FEE5015"/>
    <w:rsid w:val="60545FFD"/>
    <w:rsid w:val="608A598E"/>
    <w:rsid w:val="60F25C65"/>
    <w:rsid w:val="6137530A"/>
    <w:rsid w:val="63C27722"/>
    <w:rsid w:val="641461CF"/>
    <w:rsid w:val="64CF1BF3"/>
    <w:rsid w:val="64FF1CC9"/>
    <w:rsid w:val="65181CEF"/>
    <w:rsid w:val="656C5B97"/>
    <w:rsid w:val="65AB5E14"/>
    <w:rsid w:val="662B5A52"/>
    <w:rsid w:val="668504E1"/>
    <w:rsid w:val="674768BC"/>
    <w:rsid w:val="68CF7BF9"/>
    <w:rsid w:val="69DE2E64"/>
    <w:rsid w:val="6A5E7D87"/>
    <w:rsid w:val="6BBC3B79"/>
    <w:rsid w:val="6CAD0F6F"/>
    <w:rsid w:val="6E1206A1"/>
    <w:rsid w:val="6FCF744E"/>
    <w:rsid w:val="707D659C"/>
    <w:rsid w:val="708218FD"/>
    <w:rsid w:val="70D6480D"/>
    <w:rsid w:val="7229553C"/>
    <w:rsid w:val="73843DF7"/>
    <w:rsid w:val="73BD0E9B"/>
    <w:rsid w:val="73D6524F"/>
    <w:rsid w:val="751A6575"/>
    <w:rsid w:val="7561576D"/>
    <w:rsid w:val="75ED70B9"/>
    <w:rsid w:val="760C1F82"/>
    <w:rsid w:val="762D7258"/>
    <w:rsid w:val="763428FA"/>
    <w:rsid w:val="7759461C"/>
    <w:rsid w:val="778E5E0A"/>
    <w:rsid w:val="77A72C92"/>
    <w:rsid w:val="789D05B9"/>
    <w:rsid w:val="78DB40CB"/>
    <w:rsid w:val="78DF0B23"/>
    <w:rsid w:val="79570BE0"/>
    <w:rsid w:val="79CB3846"/>
    <w:rsid w:val="7A8476E8"/>
    <w:rsid w:val="7B5D4E49"/>
    <w:rsid w:val="7B9559F0"/>
    <w:rsid w:val="7BB557D8"/>
    <w:rsid w:val="7CEF38D9"/>
    <w:rsid w:val="7D2840E2"/>
    <w:rsid w:val="7D4631E8"/>
    <w:rsid w:val="7E431733"/>
    <w:rsid w:val="7E864CDE"/>
    <w:rsid w:val="7FA20992"/>
    <w:rsid w:val="7FFF5B2E"/>
    <w:rsid w:val="D3FE0C21"/>
    <w:rsid w:val="DFFFE7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99" w:semiHidden="0" w:name="Body Text First Indent"/>
    <w:lsdException w:qFormat="1" w:unhideWhenUsed="0" w:uiPriority="99" w:semiHidden="0" w:name="Body Text First Indent 2"/>
    <w:lsdException w:unhideWhenUsed="0" w:uiPriority="0" w:semiHidden="0" w:name="Note Heading"/>
    <w:lsdException w:qFormat="1" w:uiPriority="99"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qFormat="1" w:unhideWhenUsed="0" w:uiPriority="99" w:semiHidden="0" w:name="Block Text"/>
    <w:lsdException w:qFormat="1"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spacing w:beforeAutospacing="1" w:afterAutospacing="1"/>
      <w:jc w:val="left"/>
      <w:outlineLvl w:val="0"/>
    </w:pPr>
    <w:rPr>
      <w:rFonts w:hint="eastAsia" w:ascii="宋体" w:hAnsi="宋体"/>
      <w:b/>
      <w:bCs/>
      <w:kern w:val="44"/>
      <w:sz w:val="48"/>
      <w:szCs w:val="48"/>
    </w:rPr>
  </w:style>
  <w:style w:type="paragraph" w:styleId="3">
    <w:name w:val="heading 3"/>
    <w:basedOn w:val="1"/>
    <w:next w:val="1"/>
    <w:semiHidden/>
    <w:unhideWhenUsed/>
    <w:qFormat/>
    <w:uiPriority w:val="0"/>
    <w:pPr>
      <w:spacing w:beforeAutospacing="1" w:afterAutospacing="1"/>
      <w:jc w:val="left"/>
      <w:outlineLvl w:val="2"/>
    </w:pPr>
    <w:rPr>
      <w:rFonts w:hint="eastAsia" w:ascii="宋体" w:hAnsi="宋体"/>
      <w:b/>
      <w:bCs/>
      <w:kern w:val="0"/>
      <w:sz w:val="27"/>
      <w:szCs w:val="27"/>
    </w:rPr>
  </w:style>
  <w:style w:type="character" w:default="1" w:styleId="17">
    <w:name w:val="Default Paragraph Font"/>
    <w:semiHidden/>
    <w:unhideWhenUsed/>
    <w:qFormat/>
    <w:uiPriority w:val="1"/>
  </w:style>
  <w:style w:type="table" w:default="1" w:styleId="16">
    <w:name w:val="Normal Table"/>
    <w:semiHidden/>
    <w:unhideWhenUsed/>
    <w:qFormat/>
    <w:uiPriority w:val="99"/>
    <w:tblPr>
      <w:tblCellMar>
        <w:top w:w="0" w:type="dxa"/>
        <w:left w:w="108" w:type="dxa"/>
        <w:bottom w:w="0" w:type="dxa"/>
        <w:right w:w="108" w:type="dxa"/>
      </w:tblCellMar>
    </w:tblPr>
  </w:style>
  <w:style w:type="paragraph" w:styleId="4">
    <w:name w:val="caption"/>
    <w:basedOn w:val="1"/>
    <w:autoRedefine/>
    <w:qFormat/>
    <w:uiPriority w:val="0"/>
    <w:pPr>
      <w:suppressLineNumbers/>
      <w:spacing w:before="120" w:after="120"/>
    </w:pPr>
    <w:rPr>
      <w:i/>
      <w:iCs/>
      <w:sz w:val="24"/>
    </w:rPr>
  </w:style>
  <w:style w:type="paragraph" w:styleId="5">
    <w:name w:val="Body Text"/>
    <w:basedOn w:val="1"/>
    <w:qFormat/>
    <w:uiPriority w:val="0"/>
    <w:pPr>
      <w:spacing w:after="140" w:line="276" w:lineRule="auto"/>
    </w:pPr>
  </w:style>
  <w:style w:type="paragraph" w:styleId="6">
    <w:name w:val="Body Text Indent"/>
    <w:basedOn w:val="1"/>
    <w:autoRedefine/>
    <w:qFormat/>
    <w:uiPriority w:val="99"/>
    <w:pPr>
      <w:spacing w:after="120"/>
      <w:ind w:left="420"/>
    </w:pPr>
  </w:style>
  <w:style w:type="paragraph" w:styleId="7">
    <w:name w:val="Block Text"/>
    <w:basedOn w:val="1"/>
    <w:qFormat/>
    <w:uiPriority w:val="99"/>
    <w:pPr>
      <w:ind w:left="1440" w:leftChars="700" w:right="1440" w:rightChars="700"/>
    </w:pPr>
  </w:style>
  <w:style w:type="paragraph" w:styleId="8">
    <w:name w:val="Balloon Text"/>
    <w:basedOn w:val="1"/>
    <w:link w:val="23"/>
    <w:qFormat/>
    <w:uiPriority w:val="0"/>
    <w:rPr>
      <w:sz w:val="18"/>
      <w:szCs w:val="18"/>
    </w:rPr>
  </w:style>
  <w:style w:type="paragraph" w:styleId="9">
    <w:name w:val="footer"/>
    <w:basedOn w:val="1"/>
    <w:autoRedefine/>
    <w:qFormat/>
    <w:uiPriority w:val="0"/>
    <w:pPr>
      <w:tabs>
        <w:tab w:val="center" w:pos="4153"/>
        <w:tab w:val="right" w:pos="8306"/>
      </w:tabs>
      <w:snapToGrid w:val="0"/>
      <w:jc w:val="left"/>
    </w:pPr>
    <w:rPr>
      <w:sz w:val="18"/>
    </w:rPr>
  </w:style>
  <w:style w:type="paragraph" w:styleId="10">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List"/>
    <w:basedOn w:val="5"/>
    <w:qFormat/>
    <w:uiPriority w:val="0"/>
  </w:style>
  <w:style w:type="paragraph" w:styleId="12">
    <w:name w:val="Body Text 2"/>
    <w:basedOn w:val="1"/>
    <w:unhideWhenUsed/>
    <w:qFormat/>
    <w:uiPriority w:val="99"/>
    <w:pPr>
      <w:spacing w:line="300" w:lineRule="exact"/>
      <w:jc w:val="center"/>
    </w:pPr>
    <w:rPr>
      <w:rFonts w:eastAsia="仿宋_GB2312"/>
      <w:w w:val="90"/>
      <w:sz w:val="24"/>
    </w:rPr>
  </w:style>
  <w:style w:type="paragraph" w:styleId="13">
    <w:name w:val="Normal (Web)"/>
    <w:basedOn w:val="1"/>
    <w:qFormat/>
    <w:uiPriority w:val="99"/>
    <w:rPr>
      <w:rFonts w:ascii="Times New Roman" w:hAnsi="Times New Roman"/>
      <w:sz w:val="24"/>
    </w:rPr>
  </w:style>
  <w:style w:type="paragraph" w:styleId="14">
    <w:name w:val="Body Text First Indent"/>
    <w:basedOn w:val="5"/>
    <w:autoRedefine/>
    <w:qFormat/>
    <w:uiPriority w:val="99"/>
    <w:pPr>
      <w:wordWrap w:val="0"/>
      <w:ind w:firstLine="640" w:firstLineChars="200"/>
    </w:pPr>
  </w:style>
  <w:style w:type="paragraph" w:styleId="15">
    <w:name w:val="Body Text First Indent 2"/>
    <w:basedOn w:val="6"/>
    <w:autoRedefine/>
    <w:qFormat/>
    <w:uiPriority w:val="99"/>
    <w:pPr>
      <w:ind w:left="0" w:firstLine="40"/>
    </w:pPr>
    <w:rPr>
      <w:rFonts w:ascii="仿宋_GB2312" w:hAnsi="仿宋_GB2312" w:eastAsia="仿宋" w:cs="仿宋_GB2312"/>
      <w:sz w:val="32"/>
      <w:szCs w:val="32"/>
    </w:rPr>
  </w:style>
  <w:style w:type="character" w:styleId="18">
    <w:name w:val="Strong"/>
    <w:basedOn w:val="17"/>
    <w:qFormat/>
    <w:uiPriority w:val="22"/>
    <w:rPr>
      <w:b/>
    </w:rPr>
  </w:style>
  <w:style w:type="character" w:styleId="19">
    <w:name w:val="Hyperlink"/>
    <w:basedOn w:val="17"/>
    <w:qFormat/>
    <w:uiPriority w:val="0"/>
    <w:rPr>
      <w:color w:val="0000FF"/>
      <w:u w:val="single"/>
    </w:rPr>
  </w:style>
  <w:style w:type="character" w:customStyle="1" w:styleId="20">
    <w:name w:val="默认段落字体1"/>
    <w:qFormat/>
    <w:uiPriority w:val="0"/>
  </w:style>
  <w:style w:type="paragraph" w:customStyle="1" w:styleId="21">
    <w:name w:val="Heading"/>
    <w:basedOn w:val="1"/>
    <w:next w:val="5"/>
    <w:autoRedefine/>
    <w:qFormat/>
    <w:uiPriority w:val="0"/>
    <w:pPr>
      <w:keepNext/>
      <w:spacing w:before="240" w:after="120"/>
    </w:pPr>
    <w:rPr>
      <w:rFonts w:ascii="Liberation Sans" w:hAnsi="Liberation Sans" w:eastAsia="Saturday Sans Regular" w:cs="Saturday Sans Regular"/>
      <w:sz w:val="28"/>
      <w:szCs w:val="28"/>
    </w:rPr>
  </w:style>
  <w:style w:type="paragraph" w:customStyle="1" w:styleId="22">
    <w:name w:val="Index"/>
    <w:basedOn w:val="1"/>
    <w:autoRedefine/>
    <w:qFormat/>
    <w:uiPriority w:val="0"/>
    <w:pPr>
      <w:suppressLineNumbers/>
    </w:pPr>
  </w:style>
  <w:style w:type="character" w:customStyle="1" w:styleId="23">
    <w:name w:val="批注框文本 字符"/>
    <w:basedOn w:val="17"/>
    <w:link w:val="8"/>
    <w:autoRedefine/>
    <w:qFormat/>
    <w:uiPriority w:val="0"/>
    <w:rPr>
      <w:rFonts w:ascii="Calibri" w:hAnsi="Calibr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1894</Words>
  <Characters>1923</Characters>
  <Lines>18</Lines>
  <Paragraphs>5</Paragraphs>
  <TotalTime>110</TotalTime>
  <ScaleCrop>false</ScaleCrop>
  <LinksUpToDate>false</LinksUpToDate>
  <CharactersWithSpaces>1924</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2024-04-06T17:28:00Z</dcterms:created>
  <dc:creator>zjt</dc:creator>
  <cp:lastModifiedBy>我想做一棵树</cp:lastModifiedBy>
  <cp:lastPrinted>2025-02-27T10:02:00Z</cp:lastPrinted>
  <dcterms:modified xsi:type="dcterms:W3CDTF">2025-12-25T03:08:51Z</dcterms:modified>
  <cp:revision>31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01E01384C8E94E0CB063271729542CD5_13</vt:lpwstr>
  </property>
  <property fmtid="{D5CDD505-2E9C-101B-9397-08002B2CF9AE}" pid="4" name="KSOTemplateDocerSaveRecord">
    <vt:lpwstr>eyJoZGlkIjoiYjJjNTlmNGZhOTFkNTUyN2EyYzM1MTdlNWY3M2I2OGYiLCJ1c2VySWQiOiI3NzEzNzgwNTQifQ==</vt:lpwstr>
  </property>
</Properties>
</file>