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spacing w:line="580" w:lineRule="exact"/>
        <w:rPr>
          <w:rFonts w:hint="eastAsia" w:ascii="方正黑体_GBK" w:hAnsi="方正黑体_GBK" w:eastAsia="方正黑体_GBK" w:cs="方正黑体_GBK"/>
          <w:color w:val="auto"/>
          <w:kern w:val="0"/>
          <w:sz w:val="32"/>
          <w:szCs w:val="32"/>
          <w:highlight w:val="none"/>
          <w:lang w:val="en-US" w:eastAsia="zh-CN"/>
        </w:rPr>
      </w:pPr>
      <w:r>
        <w:rPr>
          <w:rFonts w:hint="eastAsia" w:ascii="方正黑体_GBK" w:hAnsi="方正黑体_GBK" w:eastAsia="方正黑体_GBK" w:cs="方正黑体_GBK"/>
          <w:color w:val="auto"/>
          <w:kern w:val="0"/>
          <w:sz w:val="32"/>
          <w:szCs w:val="32"/>
          <w:highlight w:val="none"/>
          <w:lang w:eastAsia="zh-CN"/>
        </w:rPr>
        <w:t>附件</w:t>
      </w:r>
      <w:r>
        <w:rPr>
          <w:rFonts w:hint="default" w:ascii="Times New Roman" w:hAnsi="Times New Roman" w:eastAsia="方正楷体_GBK" w:cs="Times New Roman"/>
          <w:color w:val="auto"/>
          <w:kern w:val="0"/>
          <w:sz w:val="32"/>
          <w:szCs w:val="32"/>
          <w:highlight w:val="none"/>
          <w:lang w:val="en-US" w:eastAsia="zh-CN"/>
        </w:rPr>
        <w:t>1</w:t>
      </w:r>
    </w:p>
    <w:p>
      <w:pPr>
        <w:autoSpaceDE w:val="0"/>
        <w:autoSpaceDN w:val="0"/>
        <w:spacing w:line="580" w:lineRule="exact"/>
        <w:rPr>
          <w:rFonts w:hint="default" w:ascii="Times New Roman Regular" w:hAnsi="Times New Roman Regular" w:eastAsia="方正小标宋_GBK" w:cs="Times New Roman Regular"/>
          <w:color w:val="auto"/>
          <w:kern w:val="0"/>
          <w:sz w:val="44"/>
          <w:szCs w:val="44"/>
          <w:highlight w:val="none"/>
          <w:lang w:val="en-US" w:eastAsia="zh-CN"/>
        </w:rPr>
      </w:pPr>
    </w:p>
    <w:p>
      <w:pPr>
        <w:autoSpaceDE w:val="0"/>
        <w:autoSpaceDN w:val="0"/>
        <w:spacing w:line="580" w:lineRule="exact"/>
        <w:jc w:val="center"/>
        <w:rPr>
          <w:rFonts w:hint="eastAsia" w:ascii="Times New Roman Regular" w:hAnsi="Times New Roman Regular" w:eastAsia="方正小标宋_GBK" w:cs="Times New Roman Regular"/>
          <w:color w:val="auto"/>
          <w:kern w:val="0"/>
          <w:sz w:val="44"/>
          <w:szCs w:val="44"/>
          <w:highlight w:val="none"/>
        </w:rPr>
      </w:pPr>
      <w:r>
        <w:rPr>
          <w:rFonts w:hint="eastAsia" w:ascii="Times New Roman Regular" w:hAnsi="Times New Roman Regular" w:eastAsia="方正小标宋_GBK" w:cs="Times New Roman Regular"/>
          <w:color w:val="auto"/>
          <w:kern w:val="0"/>
          <w:sz w:val="44"/>
          <w:szCs w:val="44"/>
          <w:highlight w:val="none"/>
        </w:rPr>
        <w:t>江苏省公共数据资源开发利用责任制规定</w:t>
      </w:r>
    </w:p>
    <w:p>
      <w:pPr>
        <w:autoSpaceDE w:val="0"/>
        <w:autoSpaceDN w:val="0"/>
        <w:spacing w:line="580" w:lineRule="exact"/>
        <w:jc w:val="center"/>
        <w:rPr>
          <w:rFonts w:hint="eastAsia" w:ascii="Times New Roman Regular" w:hAnsi="Times New Roman Regular" w:eastAsia="方正小标宋_GBK" w:cs="Times New Roman Regular"/>
          <w:color w:val="auto"/>
          <w:kern w:val="0"/>
          <w:sz w:val="44"/>
          <w:szCs w:val="44"/>
          <w:highlight w:val="none"/>
          <w:lang w:eastAsia="zh-CN"/>
        </w:rPr>
      </w:pPr>
      <w:r>
        <w:rPr>
          <w:rFonts w:hint="eastAsia" w:ascii="Times New Roman Regular" w:hAnsi="Times New Roman Regular" w:eastAsia="方正小标宋_GBK" w:cs="Times New Roman Regular"/>
          <w:color w:val="auto"/>
          <w:kern w:val="0"/>
          <w:sz w:val="44"/>
          <w:szCs w:val="44"/>
          <w:highlight w:val="none"/>
          <w:lang w:eastAsia="zh-CN"/>
        </w:rPr>
        <w:t>（</w:t>
      </w:r>
      <w:r>
        <w:rPr>
          <w:rFonts w:hint="eastAsia" w:ascii="Times New Roman Regular" w:hAnsi="Times New Roman Regular" w:eastAsia="方正小标宋_GBK" w:cs="Times New Roman Regular"/>
          <w:color w:val="auto"/>
          <w:kern w:val="0"/>
          <w:sz w:val="44"/>
          <w:szCs w:val="44"/>
          <w:highlight w:val="none"/>
          <w:lang w:val="en-US" w:eastAsia="zh-CN"/>
        </w:rPr>
        <w:t>试行</w:t>
      </w:r>
      <w:r>
        <w:rPr>
          <w:rFonts w:hint="eastAsia" w:ascii="Times New Roman Regular" w:hAnsi="Times New Roman Regular" w:eastAsia="方正小标宋_GBK" w:cs="Times New Roman Regular"/>
          <w:color w:val="auto"/>
          <w:kern w:val="0"/>
          <w:sz w:val="44"/>
          <w:szCs w:val="44"/>
          <w:highlight w:val="none"/>
          <w:lang w:eastAsia="zh-CN"/>
        </w:rPr>
        <w:t>）</w:t>
      </w:r>
    </w:p>
    <w:p>
      <w:pPr>
        <w:autoSpaceDE w:val="0"/>
        <w:autoSpaceDN w:val="0"/>
        <w:spacing w:line="580" w:lineRule="exact"/>
        <w:jc w:val="center"/>
        <w:rPr>
          <w:rFonts w:hint="eastAsia" w:ascii="方正楷体_GBK" w:hAnsi="方正楷体_GBK" w:eastAsia="方正楷体_GBK" w:cs="方正楷体_GBK"/>
          <w:color w:val="auto"/>
          <w:kern w:val="0"/>
          <w:szCs w:val="32"/>
          <w:highlight w:val="none"/>
        </w:rPr>
      </w:pPr>
      <w:r>
        <w:rPr>
          <w:rFonts w:hint="eastAsia" w:ascii="方正楷体_GBK" w:hAnsi="方正楷体_GBK" w:eastAsia="方正楷体_GBK" w:cs="方正楷体_GBK"/>
          <w:color w:val="auto"/>
          <w:kern w:val="0"/>
          <w:szCs w:val="32"/>
          <w:highlight w:val="none"/>
        </w:rPr>
        <w:t>（</w:t>
      </w:r>
      <w:r>
        <w:rPr>
          <w:rFonts w:hint="eastAsia" w:ascii="方正楷体_GBK" w:hAnsi="方正楷体_GBK" w:eastAsia="方正楷体_GBK" w:cs="方正楷体_GBK"/>
          <w:color w:val="auto"/>
          <w:kern w:val="0"/>
          <w:szCs w:val="32"/>
          <w:highlight w:val="none"/>
          <w:lang w:val="en-US" w:eastAsia="zh-CN"/>
        </w:rPr>
        <w:t>征求意见</w:t>
      </w:r>
      <w:r>
        <w:rPr>
          <w:rFonts w:hint="eastAsia" w:ascii="方正楷体_GBK" w:hAnsi="方正楷体_GBK" w:eastAsia="方正楷体_GBK" w:cs="方正楷体_GBK"/>
          <w:color w:val="auto"/>
          <w:highlight w:val="none"/>
        </w:rPr>
        <w:t>稿</w:t>
      </w:r>
      <w:r>
        <w:rPr>
          <w:rFonts w:hint="eastAsia" w:ascii="方正楷体_GBK" w:hAnsi="方正楷体_GBK" w:eastAsia="方正楷体_GBK" w:cs="方正楷体_GBK"/>
          <w:color w:val="auto"/>
          <w:kern w:val="0"/>
          <w:szCs w:val="32"/>
          <w:highlight w:val="none"/>
        </w:rPr>
        <w:t>）</w:t>
      </w:r>
    </w:p>
    <w:p>
      <w:pPr>
        <w:widowControl/>
        <w:spacing w:line="580" w:lineRule="exact"/>
        <w:rPr>
          <w:rFonts w:hint="eastAsia" w:ascii="方正黑体_GBK" w:hAnsi="方正黑体_GBK" w:eastAsia="方正黑体_GBK" w:cs="方正黑体_GBK"/>
          <w:color w:val="auto"/>
          <w:szCs w:val="32"/>
          <w:highlight w:val="none"/>
        </w:rPr>
      </w:pPr>
      <w:bookmarkStart w:id="2" w:name="_GoBack"/>
      <w:bookmarkEnd w:id="2"/>
    </w:p>
    <w:p>
      <w:pPr>
        <w:widowControl/>
        <w:spacing w:line="580" w:lineRule="exact"/>
        <w:jc w:val="center"/>
        <w:outlineLvl w:val="0"/>
        <w:rPr>
          <w:rFonts w:ascii="Times New Roman" w:hAnsi="Times New Roman" w:eastAsia="方正仿宋_GBK" w:cs="Times New Roman"/>
          <w:color w:val="auto"/>
          <w:kern w:val="0"/>
          <w:szCs w:val="32"/>
          <w:highlight w:val="none"/>
          <w:lang w:bidi="ar"/>
        </w:rPr>
      </w:pPr>
      <w:r>
        <w:rPr>
          <w:rFonts w:hint="eastAsia" w:ascii="方正黑体_GBK" w:hAnsi="方正黑体_GBK" w:eastAsia="方正黑体_GBK" w:cs="方正黑体_GBK"/>
          <w:color w:val="auto"/>
          <w:szCs w:val="32"/>
          <w:highlight w:val="none"/>
        </w:rPr>
        <w:t>第一章 总则</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第一条（目的依据）</w:t>
      </w:r>
      <w:r>
        <w:rPr>
          <w:rFonts w:hint="eastAsia" w:ascii="Times New Roman" w:hAnsi="Times New Roman" w:eastAsia="方正仿宋_GBK" w:cs="Times New Roman"/>
          <w:color w:val="auto"/>
          <w:kern w:val="0"/>
          <w:szCs w:val="32"/>
          <w:highlight w:val="none"/>
          <w:lang w:bidi="ar"/>
        </w:rPr>
        <w:t>为深化公共数据资源开发利用，健全工作机制，压实各方责任，释放数据要素价值，根据《中华人民共和国数据安全法》</w:t>
      </w:r>
      <w:r>
        <w:rPr>
          <w:rFonts w:hint="eastAsia" w:ascii="方正仿宋_GBK" w:hAnsi="方正仿宋_GBK" w:eastAsia="方正仿宋_GBK" w:cs="方正仿宋_GBK"/>
          <w:color w:val="auto"/>
          <w:kern w:val="0"/>
          <w:szCs w:val="32"/>
          <w:lang w:val="en-US" w:eastAsia="zh-CN" w:bidi="ar"/>
        </w:rPr>
        <w:t>、国务院</w:t>
      </w:r>
      <w:r>
        <w:rPr>
          <w:rFonts w:hint="eastAsia" w:ascii="Times New Roman" w:hAnsi="Times New Roman" w:eastAsia="方正仿宋_GBK" w:cs="Times New Roman"/>
          <w:color w:val="auto"/>
          <w:kern w:val="0"/>
          <w:szCs w:val="32"/>
          <w:highlight w:val="none"/>
          <w:lang w:bidi="ar"/>
        </w:rPr>
        <w:t>《政务数据共享条例》</w:t>
      </w:r>
      <w:r>
        <w:rPr>
          <w:rFonts w:hint="eastAsia" w:ascii="Times New Roman" w:hAnsi="Times New Roman" w:eastAsia="方正仿宋_GBK" w:cs="Times New Roman"/>
          <w:color w:val="auto"/>
          <w:kern w:val="0"/>
          <w:szCs w:val="32"/>
          <w:highlight w:val="none"/>
          <w:lang w:val="en-US" w:eastAsia="zh-CN" w:bidi="ar"/>
        </w:rPr>
        <w:t>和</w:t>
      </w:r>
      <w:r>
        <w:rPr>
          <w:rFonts w:hint="eastAsia" w:ascii="Times New Roman" w:hAnsi="Times New Roman" w:eastAsia="方正仿宋_GBK" w:cs="Times New Roman"/>
          <w:color w:val="auto"/>
          <w:kern w:val="0"/>
          <w:szCs w:val="32"/>
          <w:highlight w:val="none"/>
          <w:lang w:bidi="ar"/>
        </w:rPr>
        <w:t>《江苏省数据条例》等</w:t>
      </w:r>
      <w:r>
        <w:rPr>
          <w:rFonts w:hint="eastAsia" w:ascii="Times New Roman" w:hAnsi="Times New Roman" w:eastAsia="方正仿宋_GBK" w:cs="Times New Roman"/>
          <w:color w:val="auto"/>
          <w:kern w:val="0"/>
          <w:szCs w:val="32"/>
          <w:highlight w:val="none"/>
          <w:lang w:val="en-US" w:eastAsia="zh-CN" w:bidi="ar"/>
        </w:rPr>
        <w:t>法律</w:t>
      </w:r>
      <w:r>
        <w:rPr>
          <w:rFonts w:hint="eastAsia" w:ascii="Times New Roman" w:hAnsi="Times New Roman" w:eastAsia="方正仿宋_GBK" w:cs="Times New Roman"/>
          <w:color w:val="auto"/>
          <w:kern w:val="0"/>
          <w:szCs w:val="32"/>
          <w:highlight w:val="none"/>
          <w:lang w:bidi="ar"/>
        </w:rPr>
        <w:t>法规，按照《中共中央办公厅 国务院办公厅关于加快公共数据资源开发利用的意见》要求，结合我省实际，制定本规定。</w:t>
      </w:r>
    </w:p>
    <w:p>
      <w:pPr>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第二条（适用范围）</w:t>
      </w:r>
      <w:r>
        <w:rPr>
          <w:rFonts w:hint="eastAsia" w:ascii="Times New Roman" w:hAnsi="Times New Roman" w:eastAsia="方正仿宋_GBK" w:cs="Times New Roman"/>
          <w:color w:val="auto"/>
          <w:kern w:val="0"/>
          <w:szCs w:val="32"/>
          <w:highlight w:val="none"/>
          <w:lang w:bidi="ar"/>
        </w:rPr>
        <w:t>本规定适用于本省行政区域内参与公共数据资源开发利用活动的相关主体及其工作人员。</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第三条（基本原则）</w:t>
      </w:r>
      <w:r>
        <w:rPr>
          <w:rFonts w:hint="eastAsia" w:ascii="Times New Roman" w:hAnsi="Times New Roman" w:eastAsia="方正仿宋_GBK" w:cs="Times New Roman"/>
          <w:color w:val="auto"/>
          <w:kern w:val="0"/>
          <w:szCs w:val="32"/>
          <w:highlight w:val="none"/>
          <w:lang w:bidi="ar"/>
        </w:rPr>
        <w:t>实行公共数据资源开发利用责任制，应当坚持党的全面领导，构建协同治理的工作格局。统筹数据发展</w:t>
      </w:r>
      <w:r>
        <w:rPr>
          <w:rFonts w:hint="eastAsia" w:ascii="Times New Roman" w:hAnsi="Times New Roman" w:eastAsia="方正仿宋_GBK" w:cs="Times New Roman"/>
          <w:color w:val="auto"/>
          <w:kern w:val="0"/>
          <w:szCs w:val="32"/>
          <w:highlight w:val="none"/>
          <w:lang w:eastAsia="zh-CN" w:bidi="ar"/>
        </w:rPr>
        <w:t>和</w:t>
      </w:r>
      <w:r>
        <w:rPr>
          <w:rFonts w:hint="eastAsia" w:ascii="Times New Roman" w:hAnsi="Times New Roman" w:eastAsia="方正仿宋_GBK" w:cs="Times New Roman"/>
          <w:color w:val="auto"/>
          <w:kern w:val="0"/>
          <w:szCs w:val="32"/>
          <w:highlight w:val="none"/>
          <w:lang w:bidi="ar"/>
        </w:rPr>
        <w:t>安全，实行</w:t>
      </w:r>
      <w:r>
        <w:rPr>
          <w:rFonts w:hint="eastAsia" w:ascii="Times New Roman" w:hAnsi="Times New Roman" w:eastAsia="方正仿宋_GBK" w:cs="Times New Roman"/>
          <w:color w:val="auto"/>
          <w:kern w:val="0"/>
          <w:szCs w:val="32"/>
          <w:highlight w:val="none"/>
          <w:lang w:val="en-US" w:eastAsia="zh-CN" w:bidi="ar"/>
        </w:rPr>
        <w:t>有</w:t>
      </w:r>
      <w:r>
        <w:rPr>
          <w:rFonts w:hint="eastAsia" w:ascii="Times New Roman" w:hAnsi="Times New Roman" w:eastAsia="方正仿宋_GBK" w:cs="Times New Roman"/>
          <w:color w:val="auto"/>
          <w:kern w:val="0"/>
          <w:szCs w:val="32"/>
          <w:highlight w:val="none"/>
          <w:lang w:bidi="ar"/>
        </w:rPr>
        <w:t>业务必</w:t>
      </w:r>
      <w:r>
        <w:rPr>
          <w:rFonts w:hint="eastAsia" w:ascii="Times New Roman" w:hAnsi="Times New Roman" w:eastAsia="方正仿宋_GBK" w:cs="Times New Roman"/>
          <w:color w:val="auto"/>
          <w:kern w:val="0"/>
          <w:szCs w:val="32"/>
          <w:highlight w:val="none"/>
          <w:lang w:val="en-US" w:eastAsia="zh-CN" w:bidi="ar"/>
        </w:rPr>
        <w:t>有</w:t>
      </w:r>
      <w:r>
        <w:rPr>
          <w:rFonts w:hint="eastAsia" w:ascii="Times New Roman" w:hAnsi="Times New Roman" w:eastAsia="方正仿宋_GBK" w:cs="Times New Roman"/>
          <w:color w:val="auto"/>
          <w:kern w:val="0"/>
          <w:szCs w:val="32"/>
          <w:highlight w:val="none"/>
          <w:lang w:bidi="ar"/>
        </w:rPr>
        <w:t>数据、</w:t>
      </w:r>
      <w:r>
        <w:rPr>
          <w:rFonts w:hint="eastAsia" w:ascii="Times New Roman" w:hAnsi="Times New Roman" w:eastAsia="方正仿宋_GBK" w:cs="Times New Roman"/>
          <w:color w:val="auto"/>
          <w:kern w:val="0"/>
          <w:szCs w:val="32"/>
          <w:highlight w:val="none"/>
          <w:lang w:val="en-US" w:eastAsia="zh-CN" w:bidi="ar"/>
        </w:rPr>
        <w:t>有</w:t>
      </w:r>
      <w:r>
        <w:rPr>
          <w:rFonts w:hint="eastAsia" w:ascii="Times New Roman" w:hAnsi="Times New Roman" w:eastAsia="方正仿宋_GBK" w:cs="Times New Roman"/>
          <w:color w:val="auto"/>
          <w:kern w:val="0"/>
          <w:szCs w:val="32"/>
          <w:highlight w:val="none"/>
          <w:lang w:bidi="ar"/>
        </w:rPr>
        <w:t>数据必</w:t>
      </w:r>
      <w:r>
        <w:rPr>
          <w:rFonts w:hint="eastAsia" w:ascii="Times New Roman" w:hAnsi="Times New Roman" w:eastAsia="方正仿宋_GBK" w:cs="Times New Roman"/>
          <w:color w:val="auto"/>
          <w:kern w:val="0"/>
          <w:szCs w:val="32"/>
          <w:highlight w:val="none"/>
          <w:lang w:val="en-US" w:eastAsia="zh-CN" w:bidi="ar"/>
        </w:rPr>
        <w:t>供开发</w:t>
      </w:r>
      <w:r>
        <w:rPr>
          <w:rFonts w:hint="eastAsia" w:ascii="Times New Roman" w:hAnsi="Times New Roman" w:eastAsia="方正仿宋_GBK" w:cs="Times New Roman"/>
          <w:color w:val="auto"/>
          <w:kern w:val="0"/>
          <w:szCs w:val="32"/>
          <w:highlight w:val="none"/>
          <w:lang w:bidi="ar"/>
        </w:rPr>
        <w:t>。坚持激励约束并重，健全奖励激励和容错纠错机制，实行失职追责、尽职免责。</w:t>
      </w:r>
    </w:p>
    <w:p>
      <w:pPr>
        <w:widowControl/>
        <w:spacing w:line="580" w:lineRule="exact"/>
        <w:ind w:firstLine="632" w:firstLineChars="200"/>
        <w:rPr>
          <w:rFonts w:ascii="Times New Roman" w:hAnsi="Times New Roman" w:eastAsia="方正仿宋_GBK" w:cs="Times New Roman"/>
          <w:color w:val="auto"/>
          <w:kern w:val="0"/>
          <w:szCs w:val="32"/>
          <w:highlight w:val="none"/>
          <w:lang w:bidi="ar"/>
        </w:rPr>
      </w:pPr>
    </w:p>
    <w:p>
      <w:pPr>
        <w:widowControl/>
        <w:spacing w:line="580" w:lineRule="exact"/>
        <w:jc w:val="center"/>
        <w:outlineLvl w:val="0"/>
        <w:rPr>
          <w:rFonts w:hint="eastAsia" w:ascii="方正黑体_GBK" w:hAnsi="方正黑体_GBK" w:eastAsia="方正黑体_GBK" w:cs="方正黑体_GBK"/>
          <w:color w:val="auto"/>
          <w:szCs w:val="32"/>
          <w:highlight w:val="none"/>
        </w:rPr>
      </w:pPr>
      <w:r>
        <w:rPr>
          <w:rFonts w:hint="eastAsia" w:ascii="方正黑体_GBK" w:hAnsi="方正黑体_GBK" w:eastAsia="方正黑体_GBK" w:cs="方正黑体_GBK"/>
          <w:color w:val="auto"/>
          <w:szCs w:val="32"/>
          <w:highlight w:val="none"/>
        </w:rPr>
        <w:t>第二章 责任内容</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第四条（政府责任）</w:t>
      </w:r>
      <w:r>
        <w:rPr>
          <w:rFonts w:hint="eastAsia" w:ascii="Times New Roman" w:hAnsi="Times New Roman" w:eastAsia="方正仿宋_GBK" w:cs="Times New Roman"/>
          <w:color w:val="auto"/>
          <w:kern w:val="0"/>
          <w:szCs w:val="32"/>
          <w:highlight w:val="none"/>
          <w:lang w:bidi="ar"/>
        </w:rPr>
        <w:t>县级以上地方人民政府</w:t>
      </w:r>
      <w:r>
        <w:rPr>
          <w:rFonts w:hint="eastAsia" w:ascii="Times New Roman" w:hAnsi="Times New Roman" w:eastAsia="方正仿宋_GBK" w:cs="Times New Roman"/>
          <w:color w:val="auto"/>
          <w:kern w:val="0"/>
          <w:szCs w:val="32"/>
          <w:highlight w:val="none"/>
          <w:lang w:val="en-US" w:eastAsia="zh-CN" w:bidi="ar"/>
        </w:rPr>
        <w:t>负责</w:t>
      </w:r>
      <w:r>
        <w:rPr>
          <w:rFonts w:hint="eastAsia" w:ascii="Times New Roman" w:hAnsi="Times New Roman" w:eastAsia="方正仿宋_GBK" w:cs="Times New Roman"/>
          <w:color w:val="auto"/>
          <w:kern w:val="0"/>
          <w:szCs w:val="32"/>
          <w:highlight w:val="none"/>
          <w:lang w:bidi="ar"/>
        </w:rPr>
        <w:t>本地区公共数据资源开发利用工作。主要包括：</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（一）贯彻落实党中央、国务院关于数据要素市场化配置改革的决策部署及上级党委和政府相关工作要求。</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（二）将公共数据资源开发利用纳入国民经济和社会发展规划，制定实施激活数据要素潜能、保障数据安全可控的政策措施。</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（三）建立并落实首席数据官制度体系，加强数据工作协调，定期研究解决公共数据资源开发利用的重大问题。</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（四）强化公共数据资源开发利用经费保障，将所需经费列入本级预算。</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第五条（数据主管部门责任）</w:t>
      </w:r>
      <w:r>
        <w:rPr>
          <w:rFonts w:hint="eastAsia" w:ascii="Times New Roman" w:hAnsi="Times New Roman" w:eastAsia="方正仿宋_GBK" w:cs="Times New Roman"/>
          <w:color w:val="auto"/>
          <w:kern w:val="0"/>
          <w:szCs w:val="32"/>
          <w:highlight w:val="none"/>
          <w:lang w:bidi="ar"/>
        </w:rPr>
        <w:t>数据主管部门承担公共数据资源开发利用的统筹协调与监督管理责任。主要包括：</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（一）组织、指导、协调、监督公共数据资源开发利用工作，制定并实施相关管理制度。</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（二）对公共数据收集工作涉及多个公共管理和服务机构的，明确指定牵头收集的数源部门。</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（三）组织编制本行政区域内公共数据目录，完善高使用价值清单管理机制。</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（四）推动公共数据资源登记、共享开放、授权运营、生态培育及场景创新。</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（五）推行首席数据官制度，组织开展宣传培训和贯彻实施。</w:t>
      </w:r>
    </w:p>
    <w:p>
      <w:pPr>
        <w:spacing w:line="580" w:lineRule="exact"/>
        <w:ind w:firstLine="632" w:firstLineChars="200"/>
        <w:rPr>
          <w:rFonts w:hint="eastAsia" w:ascii="Times New Roman" w:hAnsi="Times New Roman" w:eastAsia="方正仿宋_GBK" w:cs="Times New Roman"/>
          <w:color w:val="auto"/>
          <w:kern w:val="0"/>
          <w:szCs w:val="32"/>
          <w:highlight w:val="none"/>
          <w:lang w:bidi="ar"/>
        </w:rPr>
      </w:pPr>
      <w:r>
        <w:rPr>
          <w:rFonts w:hint="eastAsia" w:ascii="方正仿宋_GBK" w:hAnsi="方正仿宋_GBK" w:eastAsia="方正仿宋_GBK" w:cs="方正仿宋_GBK"/>
          <w:color w:val="auto"/>
          <w:szCs w:val="32"/>
          <w:highlight w:val="none"/>
        </w:rPr>
        <w:t>（六）组织对公共数据运营机构运营成效进行评估。</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 xml:space="preserve">（七）法律法规、规章及文件规定的其他职责。 </w:t>
      </w:r>
    </w:p>
    <w:p>
      <w:pPr>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第六条（部门单位责任）</w:t>
      </w:r>
      <w:r>
        <w:rPr>
          <w:rFonts w:hint="eastAsia" w:ascii="Times New Roman" w:hAnsi="Times New Roman" w:eastAsia="方正仿宋_GBK" w:cs="Times New Roman"/>
          <w:color w:val="auto"/>
          <w:kern w:val="0"/>
          <w:szCs w:val="32"/>
          <w:highlight w:val="none"/>
          <w:lang w:bidi="ar"/>
        </w:rPr>
        <w:t>各级公共管理和服务机构负责数据供给、共享使用和质量管理，承担本部门数据管理和安全合规主体责任。主要包括：</w:t>
      </w:r>
    </w:p>
    <w:p>
      <w:pPr>
        <w:numPr>
          <w:ilvl w:val="0"/>
          <w:numId w:val="1"/>
        </w:num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全面实施首席数据官制度，推动本部门数据与业务工作协同开展。</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（二）建立健全工作机制，明确本部门公共数据资源开发利用管理服务机构，实现数据集中统一管理。</w:t>
      </w:r>
    </w:p>
    <w:p>
      <w:pPr>
        <w:numPr>
          <w:ilvl w:val="255"/>
          <w:numId w:val="0"/>
        </w:num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（三）依照职责，全面编制和动态维护本部门数据目录，并对照目录和高使用价值公共数据清单，完整、准确、及时向公共数据平台汇聚数据。</w:t>
      </w:r>
      <w:r>
        <w:rPr>
          <w:rFonts w:hint="eastAsia" w:ascii="Times New Roman" w:hAnsi="Times New Roman" w:eastAsia="方正仿宋_GBK" w:cs="Times New Roman"/>
          <w:color w:val="auto"/>
          <w:kern w:val="0"/>
          <w:szCs w:val="32"/>
          <w:highlight w:val="none"/>
          <w:lang w:val="en-US" w:eastAsia="zh-CN" w:bidi="ar"/>
        </w:rPr>
        <w:t>数据</w:t>
      </w:r>
      <w:r>
        <w:rPr>
          <w:rFonts w:hint="eastAsia" w:ascii="Times New Roman" w:hAnsi="Times New Roman" w:eastAsia="方正仿宋_GBK" w:cs="Times New Roman"/>
          <w:color w:val="auto"/>
          <w:kern w:val="0"/>
          <w:szCs w:val="32"/>
          <w:highlight w:val="none"/>
          <w:lang w:bidi="ar"/>
        </w:rPr>
        <w:t>提供方承担数据提供前的安全管理责任；</w:t>
      </w:r>
      <w:r>
        <w:rPr>
          <w:rFonts w:hint="eastAsia" w:ascii="Times New Roman" w:hAnsi="Times New Roman" w:eastAsia="方正仿宋_GBK" w:cs="Times New Roman"/>
          <w:color w:val="auto"/>
          <w:kern w:val="0"/>
          <w:szCs w:val="32"/>
          <w:highlight w:val="none"/>
          <w:lang w:val="en-US" w:eastAsia="zh-CN" w:bidi="ar"/>
        </w:rPr>
        <w:t>数据</w:t>
      </w:r>
      <w:r>
        <w:rPr>
          <w:rFonts w:hint="eastAsia" w:ascii="Times New Roman" w:hAnsi="Times New Roman" w:eastAsia="方正仿宋_GBK" w:cs="Times New Roman"/>
          <w:color w:val="auto"/>
          <w:kern w:val="0"/>
          <w:szCs w:val="32"/>
          <w:highlight w:val="none"/>
          <w:lang w:bidi="ar"/>
        </w:rPr>
        <w:t>接收</w:t>
      </w:r>
      <w:r>
        <w:rPr>
          <w:rFonts w:hint="eastAsia" w:ascii="Times New Roman" w:hAnsi="Times New Roman" w:eastAsia="方正仿宋_GBK" w:cs="Times New Roman"/>
          <w:color w:val="auto"/>
          <w:kern w:val="0"/>
          <w:szCs w:val="32"/>
          <w:highlight w:val="none"/>
          <w:lang w:val="en-US" w:eastAsia="zh-CN" w:bidi="ar"/>
        </w:rPr>
        <w:t>使用方</w:t>
      </w:r>
      <w:r>
        <w:rPr>
          <w:rFonts w:hint="eastAsia" w:ascii="Times New Roman" w:hAnsi="Times New Roman" w:eastAsia="方正仿宋_GBK" w:cs="Times New Roman"/>
          <w:color w:val="auto"/>
          <w:kern w:val="0"/>
          <w:szCs w:val="32"/>
          <w:highlight w:val="none"/>
          <w:lang w:bidi="ar"/>
        </w:rPr>
        <w:t>承担数据接收后的安全管理责任。</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（四）开展数据源头治理，实施公共数据全流程质量管理，保证数据的真实性、准确性、完整性、时效性。</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（五）履行行业主管职责，牵头本行业公共数据资源中心建设，与公共数据平台互联互通；结合应用需求，依托公共数据平台建设专题数据库。</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六）通过垂管系统收集的公共数据，在确保数据安全前提下，应当按照属地需要，完整、准确、及时向下级部门单位回流，并做好系统对接和业务协同，不得设置额外限制条件。省级行业主管部门负责申请国垂系统数据属地回流。</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（七）依托省、设区的市公共数据平台开展数据资源开发利用工作，不得在公共数据平台之外新建公共数据共享开放、运营通道；已经建成的，应当整合归并。</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（八）</w:t>
      </w:r>
      <w:r>
        <w:rPr>
          <w:rFonts w:hint="eastAsia" w:ascii="Times New Roman" w:hAnsi="Times New Roman" w:eastAsia="方正仿宋_GBK" w:cs="Times New Roman"/>
          <w:color w:val="auto"/>
          <w:kern w:val="0"/>
          <w:szCs w:val="32"/>
          <w:highlight w:val="none"/>
          <w:lang w:val="en-US" w:eastAsia="zh-CN" w:bidi="ar"/>
        </w:rPr>
        <w:t>按照规定</w:t>
      </w:r>
      <w:r>
        <w:rPr>
          <w:rFonts w:hint="eastAsia" w:ascii="Times New Roman" w:hAnsi="Times New Roman" w:eastAsia="方正仿宋_GBK" w:cs="Times New Roman"/>
          <w:color w:val="auto"/>
          <w:kern w:val="0"/>
          <w:szCs w:val="32"/>
          <w:highlight w:val="none"/>
          <w:lang w:bidi="ar"/>
        </w:rPr>
        <w:t>开展共享工作，规范受理和响应共享申请，做好共享数据使用记录。没有法律、行政法规以及国务院决定明确规定的，不得拒绝共享。</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（九）</w:t>
      </w:r>
      <w:r>
        <w:rPr>
          <w:rFonts w:hint="eastAsia" w:ascii="Times New Roman" w:hAnsi="Times New Roman" w:eastAsia="方正仿宋_GBK" w:cs="Times New Roman"/>
          <w:color w:val="auto"/>
          <w:kern w:val="0"/>
          <w:szCs w:val="32"/>
          <w:highlight w:val="none"/>
          <w:lang w:val="en-US" w:eastAsia="zh-CN" w:bidi="ar"/>
        </w:rPr>
        <w:t>按照规定</w:t>
      </w:r>
      <w:r>
        <w:rPr>
          <w:rFonts w:hint="eastAsia" w:ascii="Times New Roman" w:hAnsi="Times New Roman" w:eastAsia="方正仿宋_GBK" w:cs="Times New Roman"/>
          <w:color w:val="auto"/>
          <w:kern w:val="0"/>
          <w:szCs w:val="32"/>
          <w:highlight w:val="none"/>
          <w:lang w:bidi="ar"/>
        </w:rPr>
        <w:t>开展开放工作，安全有序开放与民生紧密相关、社会需求迫切的数据。</w:t>
      </w:r>
    </w:p>
    <w:p>
      <w:pPr>
        <w:numPr>
          <w:ilvl w:val="255"/>
          <w:numId w:val="0"/>
        </w:num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（十）</w:t>
      </w:r>
      <w:r>
        <w:rPr>
          <w:rFonts w:hint="eastAsia" w:ascii="Times New Roman" w:hAnsi="Times New Roman" w:eastAsia="方正仿宋_GBK" w:cs="Times New Roman"/>
          <w:color w:val="auto"/>
          <w:kern w:val="0"/>
          <w:szCs w:val="32"/>
          <w:highlight w:val="none"/>
          <w:lang w:val="en-US" w:eastAsia="zh-CN" w:bidi="ar"/>
        </w:rPr>
        <w:t>按照规定</w:t>
      </w:r>
      <w:r>
        <w:rPr>
          <w:rFonts w:hint="eastAsia" w:ascii="Times New Roman" w:hAnsi="Times New Roman" w:eastAsia="方正仿宋_GBK" w:cs="Times New Roman"/>
          <w:color w:val="auto"/>
          <w:kern w:val="0"/>
          <w:szCs w:val="32"/>
          <w:highlight w:val="none"/>
          <w:lang w:bidi="ar"/>
        </w:rPr>
        <w:t>推动公共数据授权运营，开展本部门公共数据资源登记工作，支持编制本行业授权运营数据资源目录，负责授权运营数据资源及时、完整、准确、稳定供给，支持本领域应用场景创新。不得在授权运营和开放机制</w:t>
      </w:r>
      <w:r>
        <w:rPr>
          <w:rFonts w:ascii="Times New Roman" w:hAnsi="Times New Roman" w:eastAsia="方正仿宋_GBK" w:cs="Times New Roman"/>
          <w:color w:val="auto"/>
          <w:kern w:val="0"/>
          <w:szCs w:val="32"/>
          <w:highlight w:val="none"/>
          <w:lang w:bidi="ar"/>
        </w:rPr>
        <w:t>外以任何形式</w:t>
      </w:r>
      <w:r>
        <w:rPr>
          <w:rFonts w:hint="eastAsia" w:ascii="Times New Roman" w:hAnsi="Times New Roman" w:eastAsia="方正仿宋_GBK" w:cs="Times New Roman"/>
          <w:color w:val="auto"/>
          <w:kern w:val="0"/>
          <w:szCs w:val="32"/>
          <w:highlight w:val="none"/>
          <w:lang w:bidi="ar"/>
        </w:rPr>
        <w:t>向市场提供公共数据。</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（十一）保障数据供给，不得擅自终止或者变更已供给的公共数据。对已共享开放和授权运营的数据，不得通过擅自增设条件等方式阻碍、影响公共数据资源开发利用。</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（十二）</w:t>
      </w:r>
      <w:r>
        <w:rPr>
          <w:rFonts w:hint="eastAsia" w:ascii="Times New Roman" w:hAnsi="Times New Roman" w:eastAsia="方正仿宋_GBK" w:cs="Times New Roman"/>
          <w:color w:val="auto"/>
          <w:kern w:val="0"/>
          <w:szCs w:val="32"/>
          <w:highlight w:val="none"/>
          <w:lang w:val="en-US" w:eastAsia="zh-CN" w:bidi="ar"/>
        </w:rPr>
        <w:t>按照规定</w:t>
      </w:r>
      <w:r>
        <w:rPr>
          <w:rFonts w:ascii="Times New Roman" w:hAnsi="Times New Roman" w:eastAsia="方正仿宋_GBK" w:cs="Times New Roman"/>
          <w:color w:val="auto"/>
          <w:kern w:val="0"/>
          <w:szCs w:val="32"/>
          <w:highlight w:val="none"/>
          <w:lang w:bidi="ar"/>
        </w:rPr>
        <w:t>处理涉及本部门</w:t>
      </w:r>
      <w:r>
        <w:rPr>
          <w:rFonts w:hint="eastAsia" w:ascii="Times New Roman" w:hAnsi="Times New Roman" w:eastAsia="方正仿宋_GBK" w:cs="Times New Roman"/>
          <w:color w:val="auto"/>
          <w:kern w:val="0"/>
          <w:szCs w:val="32"/>
          <w:highlight w:val="none"/>
          <w:lang w:bidi="ar"/>
        </w:rPr>
        <w:t>的共享开放、授权运营相关的数据</w:t>
      </w:r>
      <w:r>
        <w:rPr>
          <w:rFonts w:ascii="Times New Roman" w:hAnsi="Times New Roman" w:eastAsia="方正仿宋_GBK" w:cs="Times New Roman"/>
          <w:color w:val="auto"/>
          <w:kern w:val="0"/>
          <w:szCs w:val="32"/>
          <w:highlight w:val="none"/>
          <w:lang w:bidi="ar"/>
        </w:rPr>
        <w:t>异议</w:t>
      </w:r>
      <w:r>
        <w:rPr>
          <w:rFonts w:hint="eastAsia" w:ascii="Times New Roman" w:hAnsi="Times New Roman" w:eastAsia="方正仿宋_GBK" w:cs="Times New Roman"/>
          <w:color w:val="auto"/>
          <w:kern w:val="0"/>
          <w:szCs w:val="32"/>
          <w:highlight w:val="none"/>
          <w:lang w:bidi="ar"/>
        </w:rPr>
        <w:t>。</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（十三）履行本部门数据安全主体责任，建立本部门数据安全管理等制度并实施。</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（十四）法律法规、规章及文件规定的其他职责。</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第七条（省市大数据中心责任）</w:t>
      </w:r>
      <w:r>
        <w:rPr>
          <w:rFonts w:hint="eastAsia" w:ascii="Times New Roman" w:hAnsi="Times New Roman" w:eastAsia="方正仿宋_GBK" w:cs="Times New Roman"/>
          <w:color w:val="auto"/>
          <w:kern w:val="0"/>
          <w:szCs w:val="32"/>
          <w:highlight w:val="none"/>
          <w:lang w:bidi="ar"/>
        </w:rPr>
        <w:t>各级公共数据运行管理机构负责具体实施公共数据管理工作</w:t>
      </w:r>
      <w:r>
        <w:rPr>
          <w:rFonts w:ascii="Times New Roman" w:hAnsi="Times New Roman" w:eastAsia="方正仿宋_GBK" w:cs="Times New Roman"/>
          <w:color w:val="auto"/>
          <w:kern w:val="0"/>
          <w:szCs w:val="32"/>
          <w:highlight w:val="none"/>
          <w:lang w:bidi="ar"/>
        </w:rPr>
        <w:t>，承担公共数据</w:t>
      </w:r>
      <w:r>
        <w:rPr>
          <w:rFonts w:hint="eastAsia" w:ascii="Times New Roman" w:hAnsi="Times New Roman" w:eastAsia="方正仿宋_GBK" w:cs="Times New Roman"/>
          <w:color w:val="auto"/>
          <w:kern w:val="0"/>
          <w:szCs w:val="32"/>
          <w:highlight w:val="none"/>
          <w:lang w:bidi="ar"/>
        </w:rPr>
        <w:t>平台数据管理与安全合规主体</w:t>
      </w:r>
      <w:r>
        <w:rPr>
          <w:rFonts w:ascii="Times New Roman" w:hAnsi="Times New Roman" w:eastAsia="方正仿宋_GBK" w:cs="Times New Roman"/>
          <w:color w:val="auto"/>
          <w:kern w:val="0"/>
          <w:szCs w:val="32"/>
          <w:highlight w:val="none"/>
          <w:lang w:bidi="ar"/>
        </w:rPr>
        <w:t>责任。主要包括：</w:t>
      </w:r>
    </w:p>
    <w:p>
      <w:pPr>
        <w:numPr>
          <w:ilvl w:val="0"/>
          <w:numId w:val="2"/>
        </w:numPr>
        <w:spacing w:line="580" w:lineRule="exact"/>
        <w:ind w:firstLine="632" w:firstLineChars="200"/>
        <w:rPr>
          <w:rFonts w:ascii="Times New Roman" w:hAnsi="Times New Roman" w:eastAsia="方正仿宋_GBK" w:cs="Times New Roman"/>
          <w:color w:val="auto"/>
          <w:kern w:val="0"/>
          <w:szCs w:val="32"/>
          <w:highlight w:val="none"/>
          <w:lang w:bidi="ar"/>
        </w:rPr>
      </w:pPr>
      <w:r>
        <w:rPr>
          <w:rFonts w:ascii="Times New Roman" w:hAnsi="Times New Roman" w:eastAsia="方正仿宋_GBK" w:cs="Times New Roman"/>
          <w:color w:val="auto"/>
          <w:kern w:val="0"/>
          <w:szCs w:val="32"/>
          <w:highlight w:val="none"/>
          <w:lang w:bidi="ar"/>
        </w:rPr>
        <w:t>负责</w:t>
      </w:r>
      <w:r>
        <w:rPr>
          <w:rFonts w:hint="eastAsia" w:ascii="Times New Roman" w:hAnsi="Times New Roman" w:eastAsia="方正仿宋_GBK" w:cs="Times New Roman"/>
          <w:color w:val="auto"/>
          <w:kern w:val="0"/>
          <w:szCs w:val="32"/>
          <w:highlight w:val="none"/>
          <w:lang w:bidi="ar"/>
        </w:rPr>
        <w:t>本级</w:t>
      </w:r>
      <w:r>
        <w:rPr>
          <w:rFonts w:ascii="Times New Roman" w:hAnsi="Times New Roman" w:eastAsia="方正仿宋_GBK" w:cs="Times New Roman"/>
          <w:color w:val="auto"/>
          <w:kern w:val="0"/>
          <w:szCs w:val="32"/>
          <w:highlight w:val="none"/>
          <w:lang w:bidi="ar"/>
        </w:rPr>
        <w:t>公共数据平台的建设、运维与管理</w:t>
      </w:r>
      <w:r>
        <w:rPr>
          <w:rFonts w:hint="eastAsia" w:ascii="Times New Roman" w:hAnsi="Times New Roman" w:eastAsia="方正仿宋_GBK" w:cs="Times New Roman"/>
          <w:color w:val="auto"/>
          <w:kern w:val="0"/>
          <w:szCs w:val="32"/>
          <w:highlight w:val="none"/>
          <w:lang w:bidi="ar"/>
        </w:rPr>
        <w:t>，开展公共数据</w:t>
      </w:r>
      <w:r>
        <w:rPr>
          <w:rFonts w:ascii="Times New Roman" w:hAnsi="Times New Roman" w:eastAsia="方正仿宋_GBK" w:cs="Times New Roman"/>
          <w:color w:val="auto"/>
          <w:kern w:val="0"/>
          <w:szCs w:val="32"/>
          <w:highlight w:val="none"/>
          <w:lang w:bidi="ar"/>
        </w:rPr>
        <w:t>的归集治理</w:t>
      </w:r>
      <w:r>
        <w:rPr>
          <w:rFonts w:hint="eastAsia" w:ascii="Times New Roman" w:hAnsi="Times New Roman" w:eastAsia="方正仿宋_GBK" w:cs="Times New Roman"/>
          <w:color w:val="auto"/>
          <w:kern w:val="0"/>
          <w:szCs w:val="32"/>
          <w:highlight w:val="none"/>
          <w:lang w:bidi="ar"/>
        </w:rPr>
        <w:t>。</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ascii="Times New Roman" w:hAnsi="Times New Roman" w:eastAsia="方正仿宋_GBK" w:cs="Times New Roman"/>
          <w:color w:val="auto"/>
          <w:kern w:val="0"/>
          <w:szCs w:val="32"/>
          <w:highlight w:val="none"/>
          <w:lang w:bidi="ar"/>
        </w:rPr>
        <w:t>（二）</w:t>
      </w:r>
      <w:r>
        <w:rPr>
          <w:rFonts w:hint="eastAsia" w:ascii="Times New Roman" w:hAnsi="Times New Roman" w:eastAsia="方正仿宋_GBK" w:cs="Times New Roman"/>
          <w:color w:val="auto"/>
          <w:kern w:val="0"/>
          <w:szCs w:val="32"/>
          <w:highlight w:val="none"/>
          <w:lang w:bidi="ar"/>
        </w:rPr>
        <w:t>负责公共数据资源开发利用运行管理，实施共享开放规范性审核和授权运营数据供给，及时提示相关部门单位处理共享开放、授权运营诉求，开展效能监测。</w:t>
      </w:r>
    </w:p>
    <w:p>
      <w:pPr>
        <w:spacing w:line="580" w:lineRule="exact"/>
        <w:ind w:firstLine="632" w:firstLineChars="200"/>
        <w:rPr>
          <w:color w:val="auto"/>
          <w:highlight w:val="none"/>
        </w:rPr>
      </w:pPr>
      <w:r>
        <w:rPr>
          <w:rFonts w:hint="eastAsia" w:ascii="Times New Roman" w:hAnsi="Times New Roman" w:eastAsia="方正仿宋_GBK" w:cs="Times New Roman"/>
          <w:color w:val="auto"/>
          <w:kern w:val="0"/>
          <w:szCs w:val="32"/>
          <w:highlight w:val="none"/>
          <w:lang w:bidi="ar"/>
        </w:rPr>
        <w:t>（三）健全</w:t>
      </w:r>
      <w:r>
        <w:rPr>
          <w:rFonts w:ascii="Times New Roman" w:hAnsi="Times New Roman" w:eastAsia="方正仿宋_GBK" w:cs="Times New Roman"/>
          <w:color w:val="auto"/>
          <w:kern w:val="0"/>
          <w:szCs w:val="32"/>
          <w:highlight w:val="none"/>
          <w:lang w:bidi="ar"/>
        </w:rPr>
        <w:t>公共数据资源登记平台，</w:t>
      </w:r>
      <w:r>
        <w:rPr>
          <w:rFonts w:hint="eastAsia" w:ascii="Times New Roman" w:hAnsi="Times New Roman" w:eastAsia="方正仿宋_GBK" w:cs="Times New Roman"/>
          <w:color w:val="auto"/>
          <w:kern w:val="0"/>
          <w:szCs w:val="32"/>
          <w:highlight w:val="none"/>
          <w:lang w:bidi="ar"/>
        </w:rPr>
        <w:t>提供规范化、标准化、便利化登记服务，开展公共数据资源登记申请受理、形式审核、公示、赋码等业务</w:t>
      </w:r>
      <w:r>
        <w:rPr>
          <w:rFonts w:ascii="Times New Roman" w:hAnsi="Times New Roman" w:eastAsia="方正仿宋_GBK" w:cs="Times New Roman"/>
          <w:color w:val="auto"/>
          <w:kern w:val="0"/>
          <w:szCs w:val="32"/>
          <w:highlight w:val="none"/>
          <w:lang w:bidi="ar"/>
        </w:rPr>
        <w:t>。</w:t>
      </w:r>
    </w:p>
    <w:p>
      <w:pPr>
        <w:spacing w:line="580" w:lineRule="exact"/>
        <w:ind w:firstLine="632" w:firstLineChars="200"/>
        <w:rPr>
          <w:rFonts w:hint="eastAsia" w:ascii="方正仿宋_GBK" w:hAnsi="方正仿宋_GBK" w:eastAsia="方正仿宋_GBK" w:cs="方正仿宋_GBK"/>
          <w:color w:val="auto"/>
          <w:szCs w:val="32"/>
          <w:highlight w:val="none"/>
        </w:rPr>
      </w:pPr>
      <w:r>
        <w:rPr>
          <w:rFonts w:hint="eastAsia" w:ascii="Times New Roman" w:hAnsi="Times New Roman" w:eastAsia="方正仿宋_GBK" w:cs="Times New Roman"/>
          <w:color w:val="auto"/>
          <w:kern w:val="0"/>
          <w:szCs w:val="32"/>
          <w:highlight w:val="none"/>
          <w:lang w:bidi="ar"/>
        </w:rPr>
        <w:t>（四）牵头</w:t>
      </w:r>
      <w:r>
        <w:rPr>
          <w:rFonts w:hint="eastAsia" w:ascii="方正仿宋_GBK" w:hAnsi="方正仿宋_GBK" w:eastAsia="方正仿宋_GBK" w:cs="方正仿宋_GBK"/>
          <w:color w:val="auto"/>
          <w:szCs w:val="32"/>
          <w:highlight w:val="none"/>
        </w:rPr>
        <w:t>编制授权运营数据资源目录，并推进授权运营数据源头供给；</w:t>
      </w:r>
      <w:r>
        <w:rPr>
          <w:rFonts w:ascii="Times New Roman" w:hAnsi="Times New Roman" w:eastAsia="方正仿宋_GBK" w:cs="Times New Roman"/>
          <w:color w:val="auto"/>
          <w:kern w:val="0"/>
          <w:szCs w:val="32"/>
          <w:highlight w:val="none"/>
          <w:lang w:bidi="ar"/>
        </w:rPr>
        <w:t>接收</w:t>
      </w:r>
      <w:r>
        <w:rPr>
          <w:rFonts w:hint="eastAsia" w:ascii="Times New Roman" w:hAnsi="Times New Roman" w:eastAsia="方正仿宋_GBK" w:cs="Times New Roman"/>
          <w:color w:val="auto"/>
          <w:kern w:val="0"/>
          <w:szCs w:val="32"/>
          <w:highlight w:val="none"/>
          <w:lang w:bidi="ar"/>
        </w:rPr>
        <w:t>公共数据运营机构</w:t>
      </w:r>
      <w:r>
        <w:rPr>
          <w:rFonts w:ascii="Times New Roman" w:hAnsi="Times New Roman" w:eastAsia="方正仿宋_GBK" w:cs="Times New Roman"/>
          <w:color w:val="auto"/>
          <w:kern w:val="0"/>
          <w:szCs w:val="32"/>
          <w:highlight w:val="none"/>
          <w:lang w:bidi="ar"/>
        </w:rPr>
        <w:t>数据资源申请</w:t>
      </w:r>
      <w:r>
        <w:rPr>
          <w:rFonts w:hint="eastAsia" w:ascii="Times New Roman" w:hAnsi="Times New Roman" w:eastAsia="方正仿宋_GBK" w:cs="Times New Roman"/>
          <w:color w:val="auto"/>
          <w:kern w:val="0"/>
          <w:szCs w:val="32"/>
          <w:highlight w:val="none"/>
          <w:lang w:bidi="ar"/>
        </w:rPr>
        <w:t>并</w:t>
      </w:r>
      <w:r>
        <w:rPr>
          <w:rFonts w:hint="eastAsia" w:ascii="Times New Roman" w:hAnsi="Times New Roman" w:eastAsia="方正仿宋_GBK" w:cs="Times New Roman"/>
          <w:color w:val="auto"/>
          <w:kern w:val="0"/>
          <w:szCs w:val="32"/>
          <w:highlight w:val="none"/>
          <w:lang w:val="en-US" w:eastAsia="zh-CN" w:bidi="ar"/>
        </w:rPr>
        <w:t>按照规定</w:t>
      </w:r>
      <w:r>
        <w:rPr>
          <w:rFonts w:hint="eastAsia" w:ascii="Times New Roman" w:hAnsi="Times New Roman" w:eastAsia="方正仿宋_GBK" w:cs="Times New Roman"/>
          <w:color w:val="auto"/>
          <w:kern w:val="0"/>
          <w:szCs w:val="32"/>
          <w:highlight w:val="none"/>
          <w:lang w:bidi="ar"/>
        </w:rPr>
        <w:t>供数。</w:t>
      </w:r>
      <w:r>
        <w:rPr>
          <w:rFonts w:hint="eastAsia" w:ascii="方正仿宋_GBK" w:hAnsi="方正仿宋_GBK" w:eastAsia="方正仿宋_GBK" w:cs="方正仿宋_GBK"/>
          <w:color w:val="auto"/>
          <w:szCs w:val="32"/>
          <w:highlight w:val="none"/>
        </w:rPr>
        <w:t>建立公共数据授权运营域，支持授权运营平台建设。</w:t>
      </w:r>
      <w:r>
        <w:rPr>
          <w:rFonts w:ascii="Times New Roman" w:hAnsi="Times New Roman" w:eastAsia="方正仿宋_GBK" w:cs="Times New Roman"/>
          <w:color w:val="auto"/>
          <w:kern w:val="0"/>
          <w:szCs w:val="32"/>
          <w:highlight w:val="none"/>
          <w:lang w:bidi="ar"/>
        </w:rPr>
        <w:t>协同做好</w:t>
      </w:r>
      <w:r>
        <w:rPr>
          <w:rFonts w:hint="eastAsia" w:ascii="Times New Roman" w:hAnsi="Times New Roman" w:eastAsia="方正仿宋_GBK" w:cs="Times New Roman"/>
          <w:color w:val="auto"/>
          <w:kern w:val="0"/>
          <w:szCs w:val="32"/>
          <w:highlight w:val="none"/>
          <w:lang w:bidi="ar"/>
        </w:rPr>
        <w:t>授权运营数据</w:t>
      </w:r>
      <w:r>
        <w:rPr>
          <w:rFonts w:ascii="Times New Roman" w:hAnsi="Times New Roman" w:eastAsia="方正仿宋_GBK" w:cs="Times New Roman"/>
          <w:color w:val="auto"/>
          <w:kern w:val="0"/>
          <w:szCs w:val="32"/>
          <w:highlight w:val="none"/>
          <w:lang w:bidi="ar"/>
        </w:rPr>
        <w:t>供需对接</w:t>
      </w:r>
      <w:r>
        <w:rPr>
          <w:rFonts w:hint="eastAsia" w:ascii="Times New Roman" w:hAnsi="Times New Roman" w:eastAsia="方正仿宋_GBK" w:cs="Times New Roman"/>
          <w:color w:val="auto"/>
          <w:kern w:val="0"/>
          <w:szCs w:val="32"/>
          <w:highlight w:val="none"/>
          <w:lang w:bidi="ar"/>
        </w:rPr>
        <w:t>，</w:t>
      </w:r>
      <w:r>
        <w:rPr>
          <w:rFonts w:ascii="Times New Roman" w:hAnsi="Times New Roman" w:eastAsia="方正仿宋_GBK" w:cs="Times New Roman"/>
          <w:color w:val="auto"/>
          <w:kern w:val="0"/>
          <w:szCs w:val="32"/>
          <w:highlight w:val="none"/>
          <w:lang w:bidi="ar"/>
        </w:rPr>
        <w:t>优化</w:t>
      </w:r>
      <w:r>
        <w:rPr>
          <w:rFonts w:hint="eastAsia" w:ascii="Times New Roman" w:hAnsi="Times New Roman" w:eastAsia="方正仿宋_GBK" w:cs="Times New Roman"/>
          <w:color w:val="auto"/>
          <w:kern w:val="0"/>
          <w:szCs w:val="32"/>
          <w:highlight w:val="none"/>
          <w:lang w:bidi="ar"/>
        </w:rPr>
        <w:t>供数机制</w:t>
      </w:r>
      <w:r>
        <w:rPr>
          <w:rFonts w:hint="eastAsia" w:ascii="方正仿宋_GBK" w:hAnsi="方正仿宋_GBK" w:eastAsia="方正仿宋_GBK" w:cs="方正仿宋_GBK"/>
          <w:color w:val="auto"/>
          <w:szCs w:val="32"/>
          <w:highlight w:val="none"/>
        </w:rPr>
        <w:t>。</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ascii="Times New Roman" w:hAnsi="Times New Roman" w:eastAsia="方正仿宋_GBK" w:cs="Times New Roman"/>
          <w:color w:val="auto"/>
          <w:kern w:val="0"/>
          <w:szCs w:val="32"/>
          <w:highlight w:val="none"/>
          <w:lang w:bidi="ar"/>
        </w:rPr>
        <w:t>（</w:t>
      </w:r>
      <w:r>
        <w:rPr>
          <w:rFonts w:hint="eastAsia" w:ascii="Times New Roman" w:hAnsi="Times New Roman" w:eastAsia="方正仿宋_GBK" w:cs="Times New Roman"/>
          <w:color w:val="auto"/>
          <w:kern w:val="0"/>
          <w:szCs w:val="32"/>
          <w:highlight w:val="none"/>
          <w:lang w:bidi="ar"/>
        </w:rPr>
        <w:t>五</w:t>
      </w:r>
      <w:r>
        <w:rPr>
          <w:rFonts w:ascii="Times New Roman" w:hAnsi="Times New Roman" w:eastAsia="方正仿宋_GBK" w:cs="Times New Roman"/>
          <w:color w:val="auto"/>
          <w:kern w:val="0"/>
          <w:szCs w:val="32"/>
          <w:highlight w:val="none"/>
          <w:lang w:bidi="ar"/>
        </w:rPr>
        <w:t>）实施公共数据平台安全防护，定期开展风险评估、安全测评和应急演练，建立数据备份与灾难恢复机制，实施常态化安全风险监测与预警。</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（六）法律法规、规章及文件规定的其他职责。</w:t>
      </w:r>
    </w:p>
    <w:p>
      <w:pPr>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ascii="方正楷体_GBK" w:hAnsi="方正楷体_GBK" w:eastAsia="方正楷体_GBK" w:cs="方正楷体_GBK"/>
          <w:b/>
          <w:bCs/>
          <w:color w:val="auto"/>
          <w:kern w:val="0"/>
          <w:szCs w:val="32"/>
          <w:highlight w:val="none"/>
          <w:lang w:bidi="ar"/>
        </w:rPr>
        <w:t>第</w:t>
      </w:r>
      <w:r>
        <w:rPr>
          <w:rFonts w:hint="eastAsia" w:ascii="方正楷体_GBK" w:hAnsi="方正楷体_GBK" w:eastAsia="方正楷体_GBK" w:cs="方正楷体_GBK"/>
          <w:b/>
          <w:bCs/>
          <w:color w:val="auto"/>
          <w:kern w:val="0"/>
          <w:szCs w:val="32"/>
          <w:highlight w:val="none"/>
          <w:lang w:bidi="ar"/>
        </w:rPr>
        <w:t>八</w:t>
      </w:r>
      <w:r>
        <w:rPr>
          <w:rFonts w:ascii="方正楷体_GBK" w:hAnsi="方正楷体_GBK" w:eastAsia="方正楷体_GBK" w:cs="方正楷体_GBK"/>
          <w:b/>
          <w:bCs/>
          <w:color w:val="auto"/>
          <w:kern w:val="0"/>
          <w:szCs w:val="32"/>
          <w:highlight w:val="none"/>
          <w:lang w:bidi="ar"/>
        </w:rPr>
        <w:t>条（</w:t>
      </w:r>
      <w:r>
        <w:rPr>
          <w:rFonts w:hint="eastAsia" w:ascii="方正楷体_GBK" w:hAnsi="方正楷体_GBK" w:eastAsia="方正楷体_GBK" w:cs="方正楷体_GBK"/>
          <w:b/>
          <w:bCs/>
          <w:color w:val="auto"/>
          <w:kern w:val="0"/>
          <w:szCs w:val="32"/>
          <w:highlight w:val="none"/>
          <w:lang w:bidi="ar"/>
        </w:rPr>
        <w:t>公共数据</w:t>
      </w:r>
      <w:r>
        <w:rPr>
          <w:rFonts w:ascii="方正楷体_GBK" w:hAnsi="方正楷体_GBK" w:eastAsia="方正楷体_GBK" w:cs="方正楷体_GBK"/>
          <w:b/>
          <w:bCs/>
          <w:color w:val="auto"/>
          <w:kern w:val="0"/>
          <w:szCs w:val="32"/>
          <w:highlight w:val="none"/>
          <w:lang w:bidi="ar"/>
        </w:rPr>
        <w:t>运营</w:t>
      </w:r>
      <w:r>
        <w:rPr>
          <w:rFonts w:hint="eastAsia" w:ascii="方正楷体_GBK" w:hAnsi="方正楷体_GBK" w:eastAsia="方正楷体_GBK" w:cs="方正楷体_GBK"/>
          <w:b/>
          <w:bCs/>
          <w:color w:val="auto"/>
          <w:kern w:val="0"/>
          <w:szCs w:val="32"/>
          <w:highlight w:val="none"/>
          <w:lang w:bidi="ar"/>
        </w:rPr>
        <w:t>机构</w:t>
      </w:r>
      <w:r>
        <w:rPr>
          <w:rFonts w:ascii="方正楷体_GBK" w:hAnsi="方正楷体_GBK" w:eastAsia="方正楷体_GBK" w:cs="方正楷体_GBK"/>
          <w:b/>
          <w:bCs/>
          <w:color w:val="auto"/>
          <w:kern w:val="0"/>
          <w:szCs w:val="32"/>
          <w:highlight w:val="none"/>
          <w:lang w:bidi="ar"/>
        </w:rPr>
        <w:t>责任）</w:t>
      </w:r>
      <w:r>
        <w:rPr>
          <w:rFonts w:hint="eastAsia" w:ascii="Times New Roman" w:hAnsi="Times New Roman" w:eastAsia="方正仿宋_GBK" w:cs="Times New Roman"/>
          <w:color w:val="auto"/>
          <w:kern w:val="0"/>
          <w:szCs w:val="32"/>
          <w:highlight w:val="none"/>
          <w:lang w:bidi="ar"/>
        </w:rPr>
        <w:t>公共数据运营机构负责授权范围内的公共数据资源开发利用，承担公共数据授权运营平台数据管理与安全合规主体责任。</w:t>
      </w:r>
      <w:r>
        <w:rPr>
          <w:rFonts w:ascii="Times New Roman" w:hAnsi="Times New Roman" w:eastAsia="方正仿宋_GBK" w:cs="Times New Roman"/>
          <w:color w:val="auto"/>
          <w:kern w:val="0"/>
          <w:szCs w:val="32"/>
          <w:highlight w:val="none"/>
          <w:lang w:bidi="ar"/>
        </w:rPr>
        <w:t>主要包括</w:t>
      </w:r>
      <w:r>
        <w:rPr>
          <w:rFonts w:hint="eastAsia" w:ascii="Times New Roman" w:hAnsi="Times New Roman" w:eastAsia="方正仿宋_GBK" w:cs="Times New Roman"/>
          <w:color w:val="auto"/>
          <w:kern w:val="0"/>
          <w:szCs w:val="32"/>
          <w:highlight w:val="none"/>
          <w:lang w:bidi="ar"/>
        </w:rPr>
        <w:t>：</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ascii="Times New Roman" w:hAnsi="Times New Roman" w:eastAsia="方正仿宋_GBK" w:cs="Times New Roman"/>
          <w:color w:val="auto"/>
          <w:kern w:val="0"/>
          <w:szCs w:val="32"/>
          <w:highlight w:val="none"/>
          <w:lang w:bidi="ar"/>
        </w:rPr>
        <w:t>（</w:t>
      </w:r>
      <w:r>
        <w:rPr>
          <w:rFonts w:hint="eastAsia" w:ascii="Times New Roman" w:hAnsi="Times New Roman" w:eastAsia="方正仿宋_GBK" w:cs="Times New Roman"/>
          <w:color w:val="auto"/>
          <w:kern w:val="0"/>
          <w:szCs w:val="32"/>
          <w:highlight w:val="none"/>
          <w:lang w:bidi="ar"/>
        </w:rPr>
        <w:t>一</w:t>
      </w:r>
      <w:r>
        <w:rPr>
          <w:rFonts w:ascii="Times New Roman" w:hAnsi="Times New Roman" w:eastAsia="方正仿宋_GBK" w:cs="Times New Roman"/>
          <w:color w:val="auto"/>
          <w:kern w:val="0"/>
          <w:szCs w:val="32"/>
          <w:highlight w:val="none"/>
          <w:lang w:bidi="ar"/>
        </w:rPr>
        <w:t>）</w:t>
      </w:r>
      <w:r>
        <w:rPr>
          <w:rFonts w:hint="eastAsia" w:ascii="Times New Roman" w:hAnsi="Times New Roman" w:eastAsia="方正仿宋_GBK" w:cs="Times New Roman"/>
          <w:color w:val="auto"/>
          <w:kern w:val="0"/>
          <w:szCs w:val="32"/>
          <w:highlight w:val="none"/>
          <w:lang w:bidi="ar"/>
        </w:rPr>
        <w:t>在公共数据授权运营域</w:t>
      </w:r>
      <w:r>
        <w:rPr>
          <w:rFonts w:ascii="Times New Roman" w:hAnsi="Times New Roman" w:eastAsia="方正仿宋_GBK" w:cs="Times New Roman"/>
          <w:color w:val="auto"/>
          <w:kern w:val="0"/>
          <w:szCs w:val="32"/>
          <w:highlight w:val="none"/>
          <w:lang w:bidi="ar"/>
        </w:rPr>
        <w:t>建设</w:t>
      </w:r>
      <w:r>
        <w:rPr>
          <w:rFonts w:hint="eastAsia" w:ascii="Times New Roman" w:hAnsi="Times New Roman" w:eastAsia="方正仿宋_GBK" w:cs="Times New Roman"/>
          <w:color w:val="auto"/>
          <w:kern w:val="0"/>
          <w:szCs w:val="32"/>
          <w:highlight w:val="none"/>
          <w:lang w:bidi="ar"/>
        </w:rPr>
        <w:t>和</w:t>
      </w:r>
      <w:r>
        <w:rPr>
          <w:rFonts w:ascii="Times New Roman" w:hAnsi="Times New Roman" w:eastAsia="方正仿宋_GBK" w:cs="Times New Roman"/>
          <w:color w:val="auto"/>
          <w:kern w:val="0"/>
          <w:szCs w:val="32"/>
          <w:highlight w:val="none"/>
          <w:lang w:bidi="ar"/>
        </w:rPr>
        <w:t>管理</w:t>
      </w:r>
      <w:r>
        <w:rPr>
          <w:rFonts w:hint="eastAsia" w:ascii="Times New Roman" w:hAnsi="Times New Roman" w:eastAsia="方正仿宋_GBK" w:cs="Times New Roman"/>
          <w:color w:val="auto"/>
          <w:kern w:val="0"/>
          <w:szCs w:val="32"/>
          <w:highlight w:val="none"/>
          <w:lang w:bidi="ar"/>
        </w:rPr>
        <w:t>公共数据</w:t>
      </w:r>
      <w:r>
        <w:rPr>
          <w:rFonts w:ascii="Times New Roman" w:hAnsi="Times New Roman" w:eastAsia="方正仿宋_GBK" w:cs="Times New Roman"/>
          <w:color w:val="auto"/>
          <w:kern w:val="0"/>
          <w:szCs w:val="32"/>
          <w:highlight w:val="none"/>
          <w:lang w:bidi="ar"/>
        </w:rPr>
        <w:t>授权运营平台；对授权数据进行加工处理，建立并动态维护数据资源目录，</w:t>
      </w:r>
      <w:r>
        <w:rPr>
          <w:rFonts w:hint="eastAsia" w:ascii="方正仿宋_GBK" w:hAnsi="方正仿宋_GBK" w:eastAsia="方正仿宋_GBK" w:cs="方正仿宋_GBK"/>
          <w:color w:val="auto"/>
          <w:szCs w:val="32"/>
          <w:highlight w:val="none"/>
          <w:shd w:val="clear" w:color="auto" w:fill="FFFFFF"/>
        </w:rPr>
        <w:t>跟踪反馈数据质量情况，</w:t>
      </w:r>
      <w:r>
        <w:rPr>
          <w:rFonts w:ascii="Times New Roman" w:hAnsi="Times New Roman" w:eastAsia="方正仿宋_GBK" w:cs="Times New Roman"/>
          <w:color w:val="auto"/>
          <w:kern w:val="0"/>
          <w:szCs w:val="32"/>
          <w:highlight w:val="none"/>
          <w:lang w:bidi="ar"/>
        </w:rPr>
        <w:t>保障数据</w:t>
      </w:r>
      <w:r>
        <w:rPr>
          <w:rFonts w:hint="eastAsia" w:ascii="Times New Roman" w:hAnsi="Times New Roman" w:eastAsia="方正仿宋_GBK" w:cs="Times New Roman"/>
          <w:color w:val="auto"/>
          <w:kern w:val="0"/>
          <w:szCs w:val="32"/>
          <w:highlight w:val="none"/>
          <w:lang w:bidi="ar"/>
        </w:rPr>
        <w:t>服务</w:t>
      </w:r>
      <w:r>
        <w:rPr>
          <w:rFonts w:ascii="Times New Roman" w:hAnsi="Times New Roman" w:eastAsia="方正仿宋_GBK" w:cs="Times New Roman"/>
          <w:color w:val="auto"/>
          <w:kern w:val="0"/>
          <w:szCs w:val="32"/>
          <w:highlight w:val="none"/>
          <w:lang w:bidi="ar"/>
        </w:rPr>
        <w:t>质量。</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ascii="Times New Roman" w:hAnsi="Times New Roman" w:eastAsia="方正仿宋_GBK" w:cs="Times New Roman"/>
          <w:color w:val="auto"/>
          <w:kern w:val="0"/>
          <w:szCs w:val="32"/>
          <w:highlight w:val="none"/>
          <w:lang w:bidi="ar"/>
        </w:rPr>
        <w:t>（</w:t>
      </w:r>
      <w:r>
        <w:rPr>
          <w:rFonts w:hint="eastAsia" w:ascii="Times New Roman" w:hAnsi="Times New Roman" w:eastAsia="方正仿宋_GBK" w:cs="Times New Roman"/>
          <w:color w:val="auto"/>
          <w:kern w:val="0"/>
          <w:szCs w:val="32"/>
          <w:highlight w:val="none"/>
          <w:lang w:bidi="ar"/>
        </w:rPr>
        <w:t>二</w:t>
      </w:r>
      <w:r>
        <w:rPr>
          <w:rFonts w:ascii="Times New Roman" w:hAnsi="Times New Roman" w:eastAsia="方正仿宋_GBK" w:cs="Times New Roman"/>
          <w:color w:val="auto"/>
          <w:kern w:val="0"/>
          <w:szCs w:val="32"/>
          <w:highlight w:val="none"/>
          <w:lang w:bidi="ar"/>
        </w:rPr>
        <w:t>）组织数据供需对接，形成授权运营数据资源需求报公共数据运行管理机构</w:t>
      </w:r>
      <w:r>
        <w:rPr>
          <w:rFonts w:hint="eastAsia" w:ascii="Times New Roman" w:hAnsi="Times New Roman" w:eastAsia="方正仿宋_GBK" w:cs="Times New Roman"/>
          <w:color w:val="auto"/>
          <w:kern w:val="0"/>
          <w:szCs w:val="32"/>
          <w:highlight w:val="none"/>
          <w:lang w:bidi="ar"/>
        </w:rPr>
        <w:t>。</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ascii="Times New Roman" w:hAnsi="Times New Roman" w:eastAsia="方正仿宋_GBK" w:cs="Times New Roman"/>
          <w:color w:val="auto"/>
          <w:kern w:val="0"/>
          <w:szCs w:val="32"/>
          <w:highlight w:val="none"/>
          <w:lang w:bidi="ar"/>
        </w:rPr>
        <w:t>（</w:t>
      </w:r>
      <w:r>
        <w:rPr>
          <w:rFonts w:hint="eastAsia" w:ascii="Times New Roman" w:hAnsi="Times New Roman" w:eastAsia="方正仿宋_GBK" w:cs="Times New Roman"/>
          <w:color w:val="auto"/>
          <w:kern w:val="0"/>
          <w:szCs w:val="32"/>
          <w:highlight w:val="none"/>
          <w:lang w:bidi="ar"/>
        </w:rPr>
        <w:t>三</w:t>
      </w:r>
      <w:r>
        <w:rPr>
          <w:rFonts w:ascii="Times New Roman" w:hAnsi="Times New Roman" w:eastAsia="方正仿宋_GBK" w:cs="Times New Roman"/>
          <w:color w:val="auto"/>
          <w:kern w:val="0"/>
          <w:szCs w:val="32"/>
          <w:highlight w:val="none"/>
          <w:lang w:bidi="ar"/>
        </w:rPr>
        <w:t>）</w:t>
      </w:r>
      <w:r>
        <w:rPr>
          <w:rFonts w:hint="eastAsia" w:ascii="Times New Roman" w:hAnsi="Times New Roman" w:eastAsia="方正仿宋_GBK" w:cs="Times New Roman"/>
          <w:color w:val="auto"/>
          <w:kern w:val="0"/>
          <w:szCs w:val="32"/>
          <w:highlight w:val="none"/>
          <w:lang w:bidi="ar"/>
        </w:rPr>
        <w:t>组织实施授权运营，主要包括发布公告、监督数据处理活动、管理数据产品目录、规范披露信息。</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（四）</w:t>
      </w:r>
      <w:r>
        <w:rPr>
          <w:rFonts w:hint="eastAsia" w:ascii="方正仿宋_GBK" w:hAnsi="方正仿宋_GBK" w:eastAsia="方正仿宋_GBK" w:cs="方正仿宋_GBK"/>
          <w:color w:val="auto"/>
          <w:szCs w:val="32"/>
          <w:highlight w:val="none"/>
          <w:shd w:val="clear" w:color="auto" w:fill="FFFFFF"/>
        </w:rPr>
        <w:t>为开发利用授权数据资源提供必要的技术保障，提供业务咨询等服务，培育数据商和第三方专业服务机构，推动公共数据运营生态健康发展</w:t>
      </w:r>
      <w:r>
        <w:rPr>
          <w:rFonts w:ascii="Times New Roman" w:hAnsi="Times New Roman" w:eastAsia="方正仿宋_GBK" w:cs="Times New Roman"/>
          <w:color w:val="auto"/>
          <w:kern w:val="0"/>
          <w:szCs w:val="32"/>
          <w:highlight w:val="none"/>
          <w:lang w:bidi="ar"/>
        </w:rPr>
        <w:t>。</w:t>
      </w:r>
    </w:p>
    <w:p>
      <w:pPr>
        <w:spacing w:line="580" w:lineRule="exact"/>
        <w:ind w:firstLine="632" w:firstLineChars="200"/>
        <w:rPr>
          <w:rFonts w:hint="eastAsia" w:ascii="方正仿宋_GBK" w:hAnsi="方正仿宋_GBK" w:eastAsia="方正仿宋_GBK" w:cs="方正仿宋_GBK"/>
          <w:color w:val="auto"/>
          <w:szCs w:val="32"/>
          <w:highlight w:val="none"/>
        </w:rPr>
      </w:pPr>
      <w:r>
        <w:rPr>
          <w:rFonts w:hint="eastAsia" w:ascii="Times New Roman" w:hAnsi="Times New Roman" w:eastAsia="方正仿宋_GBK" w:cs="Times New Roman"/>
          <w:color w:val="auto"/>
          <w:kern w:val="0"/>
          <w:szCs w:val="32"/>
          <w:highlight w:val="none"/>
          <w:lang w:bidi="ar"/>
        </w:rPr>
        <w:t>（五）</w:t>
      </w:r>
      <w:r>
        <w:rPr>
          <w:rFonts w:hint="eastAsia" w:ascii="方正仿宋_GBK" w:hAnsi="方正仿宋_GBK" w:eastAsia="方正仿宋_GBK" w:cs="方正仿宋_GBK"/>
          <w:color w:val="auto"/>
          <w:szCs w:val="32"/>
          <w:highlight w:val="none"/>
        </w:rPr>
        <w:t>负责公共数据产品审核，包括但不限于公共数据使用情况、原始数据直接暴露风险、个人信息和商业秘密泄露滥用风险、数据出境等方面。</w:t>
      </w:r>
    </w:p>
    <w:p>
      <w:pPr>
        <w:spacing w:line="580" w:lineRule="exact"/>
        <w:ind w:firstLine="632" w:firstLineChars="200"/>
        <w:rPr>
          <w:rFonts w:hint="eastAsia" w:ascii="Times New Roman" w:hAnsi="Times New Roman" w:eastAsia="方正仿宋_GBK" w:cs="Times New Roman"/>
          <w:color w:val="auto"/>
          <w:kern w:val="0"/>
          <w:szCs w:val="32"/>
          <w:highlight w:val="none"/>
          <w:lang w:bidi="ar"/>
        </w:rPr>
      </w:pPr>
      <w:bookmarkStart w:id="0" w:name="OLE_LINK2"/>
      <w:r>
        <w:rPr>
          <w:rFonts w:ascii="Times New Roman" w:hAnsi="Times New Roman" w:eastAsia="方正仿宋_GBK" w:cs="Times New Roman"/>
          <w:color w:val="auto"/>
          <w:kern w:val="0"/>
          <w:szCs w:val="32"/>
          <w:highlight w:val="none"/>
          <w:lang w:bidi="ar"/>
        </w:rPr>
        <w:t>（</w:t>
      </w:r>
      <w:r>
        <w:rPr>
          <w:rFonts w:hint="eastAsia" w:ascii="Times New Roman" w:hAnsi="Times New Roman" w:eastAsia="方正仿宋_GBK" w:cs="Times New Roman"/>
          <w:color w:val="auto"/>
          <w:kern w:val="0"/>
          <w:szCs w:val="32"/>
          <w:highlight w:val="none"/>
          <w:lang w:bidi="ar"/>
        </w:rPr>
        <w:t>六</w:t>
      </w:r>
      <w:r>
        <w:rPr>
          <w:rFonts w:ascii="Times New Roman" w:hAnsi="Times New Roman" w:eastAsia="方正仿宋_GBK" w:cs="Times New Roman"/>
          <w:color w:val="auto"/>
          <w:kern w:val="0"/>
          <w:szCs w:val="32"/>
          <w:highlight w:val="none"/>
          <w:lang w:bidi="ar"/>
        </w:rPr>
        <w:t>）建立健全安全管理制度</w:t>
      </w:r>
      <w:r>
        <w:rPr>
          <w:rFonts w:hint="eastAsia" w:ascii="Times New Roman" w:hAnsi="Times New Roman" w:eastAsia="方正仿宋_GBK" w:cs="Times New Roman"/>
          <w:color w:val="auto"/>
          <w:kern w:val="0"/>
          <w:szCs w:val="32"/>
          <w:highlight w:val="none"/>
          <w:lang w:bidi="ar"/>
        </w:rPr>
        <w:t>和合规监测机制，推进和督促</w:t>
      </w:r>
      <w:r>
        <w:rPr>
          <w:rFonts w:hint="eastAsia" w:ascii="Times New Roman" w:hAnsi="Times New Roman" w:eastAsia="方正仿宋_GBK" w:cs="Times New Roman"/>
          <w:color w:val="auto"/>
          <w:kern w:val="0"/>
          <w:szCs w:val="32"/>
          <w:highlight w:val="none"/>
          <w:lang w:val="en-US" w:eastAsia="zh-CN" w:bidi="ar"/>
        </w:rPr>
        <w:t>有关方</w:t>
      </w:r>
      <w:r>
        <w:rPr>
          <w:rFonts w:hint="eastAsia" w:ascii="Times New Roman" w:hAnsi="Times New Roman" w:eastAsia="方正仿宋_GBK" w:cs="Times New Roman"/>
          <w:color w:val="auto"/>
          <w:kern w:val="0"/>
          <w:szCs w:val="32"/>
          <w:highlight w:val="none"/>
          <w:lang w:bidi="ar"/>
        </w:rPr>
        <w:t>落实数据开发利用和数据产品</w:t>
      </w:r>
      <w:r>
        <w:rPr>
          <w:rFonts w:hint="eastAsia" w:ascii="Times New Roman" w:hAnsi="Times New Roman" w:eastAsia="方正仿宋_GBK" w:cs="Times New Roman"/>
          <w:color w:val="auto"/>
          <w:kern w:val="0"/>
          <w:szCs w:val="32"/>
          <w:highlight w:val="none"/>
          <w:lang w:val="en-US" w:eastAsia="zh-CN" w:bidi="ar"/>
        </w:rPr>
        <w:t>流通交易</w:t>
      </w:r>
      <w:r>
        <w:rPr>
          <w:rFonts w:hint="eastAsia" w:ascii="Times New Roman" w:hAnsi="Times New Roman" w:eastAsia="方正仿宋_GBK" w:cs="Times New Roman"/>
          <w:color w:val="auto"/>
          <w:kern w:val="0"/>
          <w:szCs w:val="32"/>
          <w:highlight w:val="none"/>
          <w:lang w:bidi="ar"/>
        </w:rPr>
        <w:t>安全合规主体责任</w:t>
      </w:r>
      <w:r>
        <w:rPr>
          <w:rFonts w:hint="eastAsia" w:ascii="Times New Roman" w:hAnsi="Times New Roman" w:eastAsia="方正仿宋_GBK" w:cs="Times New Roman"/>
          <w:color w:val="auto"/>
          <w:kern w:val="0"/>
          <w:szCs w:val="32"/>
          <w:highlight w:val="none"/>
          <w:lang w:eastAsia="zh-CN" w:bidi="ar"/>
        </w:rPr>
        <w:t>，</w:t>
      </w:r>
      <w:r>
        <w:rPr>
          <w:rFonts w:hint="eastAsia" w:ascii="Times New Roman" w:hAnsi="Times New Roman" w:eastAsia="方正仿宋_GBK" w:cs="Times New Roman"/>
          <w:color w:val="auto"/>
          <w:kern w:val="0"/>
          <w:szCs w:val="32"/>
          <w:highlight w:val="none"/>
          <w:lang w:bidi="ar"/>
        </w:rPr>
        <w:t>确保符合法律法规、政策和协议规定，</w:t>
      </w:r>
      <w:r>
        <w:rPr>
          <w:rFonts w:ascii="Times New Roman" w:hAnsi="Times New Roman" w:eastAsia="方正仿宋_GBK" w:cs="Times New Roman"/>
          <w:color w:val="auto"/>
          <w:kern w:val="0"/>
          <w:szCs w:val="32"/>
          <w:highlight w:val="none"/>
          <w:lang w:bidi="ar"/>
        </w:rPr>
        <w:t>运营全过程安全可控</w:t>
      </w:r>
      <w:r>
        <w:rPr>
          <w:rFonts w:hint="eastAsia" w:ascii="Times New Roman" w:hAnsi="Times New Roman" w:eastAsia="方正仿宋_GBK" w:cs="Times New Roman"/>
          <w:color w:val="auto"/>
          <w:kern w:val="0"/>
          <w:szCs w:val="32"/>
          <w:highlight w:val="none"/>
          <w:lang w:bidi="ar"/>
        </w:rPr>
        <w:t>。</w:t>
      </w:r>
    </w:p>
    <w:bookmarkEnd w:id="0"/>
    <w:p>
      <w:pPr>
        <w:spacing w:line="580" w:lineRule="exact"/>
        <w:ind w:firstLine="632" w:firstLineChars="200"/>
        <w:rPr>
          <w:rFonts w:hint="eastAsia"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（七）法律法规、规章及文件规定的其他授权运营职责。</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第九条（部门单位领导责任）</w:t>
      </w:r>
      <w:r>
        <w:rPr>
          <w:rFonts w:hint="eastAsia" w:ascii="Times New Roman" w:hAnsi="Times New Roman" w:eastAsia="方正仿宋_GBK" w:cs="Times New Roman"/>
          <w:color w:val="auto"/>
          <w:kern w:val="0"/>
          <w:szCs w:val="32"/>
          <w:highlight w:val="none"/>
          <w:lang w:bidi="ar"/>
        </w:rPr>
        <w:t>部门单位主要负责人是本部门、本单位公共数据资源开发利用工作的第一责任人，负全面领导责任。</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部门单位首席数据官是公共数据资源开发利用工作的直接责任人，负责日常统筹协调与推进落实。</w:t>
      </w:r>
    </w:p>
    <w:p>
      <w:pPr>
        <w:widowControl/>
        <w:spacing w:line="580" w:lineRule="exact"/>
        <w:ind w:firstLine="632" w:firstLineChars="200"/>
        <w:jc w:val="left"/>
        <w:outlineLvl w:val="1"/>
        <w:rPr>
          <w:rFonts w:hint="eastAsia" w:ascii="方正黑体_GBK" w:hAnsi="方正黑体_GBK" w:eastAsia="方正黑体_GBK" w:cs="方正黑体_GBK"/>
          <w:color w:val="auto"/>
          <w:szCs w:val="32"/>
          <w:highlight w:val="none"/>
        </w:rPr>
      </w:pPr>
      <w:r>
        <w:rPr>
          <w:rFonts w:hint="eastAsia" w:ascii="Times New Roman" w:hAnsi="Times New Roman" w:eastAsia="方正仿宋_GBK" w:cs="Times New Roman"/>
          <w:color w:val="auto"/>
          <w:kern w:val="0"/>
          <w:szCs w:val="32"/>
          <w:highlight w:val="none"/>
          <w:lang w:bidi="ar"/>
        </w:rPr>
        <w:t>部门单位其他负责人根据分工，对职责范围内的公共数据资源开发利用工作承担分管责任。</w:t>
      </w:r>
      <w:bookmarkStart w:id="1" w:name="OLE_LINK1"/>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第十条（安全监管责任）</w:t>
      </w:r>
      <w:r>
        <w:rPr>
          <w:rFonts w:hint="eastAsia" w:ascii="Times New Roman" w:hAnsi="Times New Roman" w:eastAsia="方正仿宋_GBK" w:cs="Times New Roman"/>
          <w:color w:val="auto"/>
          <w:kern w:val="0"/>
          <w:szCs w:val="32"/>
          <w:highlight w:val="none"/>
          <w:lang w:bidi="ar"/>
        </w:rPr>
        <w:t>网信、公安、国家安全、保密、密码管理等部门单位，应当依据法律法规和职责分工，指导部门单位建立健全全流程数据安全管理制度，加强对公共数据资源开发利用活动的安全监管。</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rPr>
      </w:pPr>
      <w:r>
        <w:rPr>
          <w:rFonts w:hint="eastAsia" w:ascii="方正楷体_GBK" w:hAnsi="方正楷体_GBK" w:eastAsia="方正楷体_GBK" w:cs="方正楷体_GBK"/>
          <w:b/>
          <w:bCs/>
          <w:color w:val="auto"/>
          <w:kern w:val="0"/>
          <w:szCs w:val="32"/>
          <w:highlight w:val="none"/>
          <w:lang w:bidi="ar"/>
        </w:rPr>
        <w:t>第十一条（协同监管责任）</w:t>
      </w:r>
      <w:r>
        <w:rPr>
          <w:rFonts w:ascii="Times New Roman" w:hAnsi="Times New Roman" w:eastAsia="方正仿宋_GBK" w:cs="Times New Roman"/>
          <w:color w:val="auto"/>
          <w:kern w:val="0"/>
          <w:szCs w:val="32"/>
          <w:highlight w:val="none"/>
        </w:rPr>
        <w:t>财政、国资等相关部门</w:t>
      </w:r>
      <w:r>
        <w:rPr>
          <w:rFonts w:hint="eastAsia" w:ascii="Times New Roman" w:hAnsi="Times New Roman" w:eastAsia="方正仿宋_GBK" w:cs="Times New Roman"/>
          <w:color w:val="auto"/>
          <w:kern w:val="0"/>
          <w:szCs w:val="32"/>
          <w:highlight w:val="none"/>
        </w:rPr>
        <w:t>单位应</w:t>
      </w:r>
      <w:r>
        <w:rPr>
          <w:rFonts w:ascii="Times New Roman" w:hAnsi="Times New Roman" w:eastAsia="方正仿宋_GBK" w:cs="Times New Roman"/>
          <w:color w:val="auto"/>
          <w:kern w:val="0"/>
          <w:szCs w:val="32"/>
          <w:highlight w:val="none"/>
        </w:rPr>
        <w:t>按照各自法定职责，在监督检查、</w:t>
      </w:r>
      <w:r>
        <w:rPr>
          <w:rFonts w:hint="eastAsia" w:ascii="Times New Roman" w:hAnsi="Times New Roman" w:eastAsia="方正仿宋_GBK" w:cs="Times New Roman"/>
          <w:color w:val="auto"/>
          <w:kern w:val="0"/>
          <w:szCs w:val="32"/>
          <w:highlight w:val="none"/>
        </w:rPr>
        <w:t>预算绩效管理</w:t>
      </w:r>
      <w:r>
        <w:rPr>
          <w:rFonts w:ascii="Times New Roman" w:hAnsi="Times New Roman" w:eastAsia="方正仿宋_GBK" w:cs="Times New Roman"/>
          <w:color w:val="auto"/>
          <w:kern w:val="0"/>
          <w:szCs w:val="32"/>
          <w:highlight w:val="none"/>
        </w:rPr>
        <w:t>及国有资产监管等方面，协同做好公共数据资源开发利用的监督管理工作</w:t>
      </w:r>
      <w:r>
        <w:rPr>
          <w:rFonts w:hint="eastAsia" w:ascii="Times New Roman" w:hAnsi="Times New Roman" w:eastAsia="方正仿宋_GBK" w:cs="Times New Roman"/>
          <w:color w:val="auto"/>
          <w:kern w:val="0"/>
          <w:szCs w:val="32"/>
          <w:highlight w:val="none"/>
        </w:rPr>
        <w:t>。</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rPr>
      </w:pPr>
      <w:r>
        <w:rPr>
          <w:rFonts w:hint="eastAsia" w:ascii="方正仿宋_GBK" w:hAnsi="方正仿宋_GBK" w:eastAsia="方正仿宋_GBK" w:cs="方正仿宋_GBK"/>
          <w:color w:val="auto"/>
          <w:szCs w:val="32"/>
          <w:highlight w:val="none"/>
        </w:rPr>
        <w:t>公共数据运营机构为本省国有企业的，运营成效评估结果同步纳入本级国资监管的重大专项任务范畴。</w:t>
      </w:r>
      <w:r>
        <w:rPr>
          <w:rFonts w:hint="eastAsia" w:ascii="Times New Roman" w:hAnsi="Times New Roman" w:eastAsia="方正仿宋_GBK" w:cs="Times New Roman"/>
          <w:color w:val="auto"/>
          <w:kern w:val="0"/>
          <w:szCs w:val="32"/>
          <w:highlight w:val="none"/>
        </w:rPr>
        <w:t xml:space="preserve">  </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第十二条（审计监督）</w:t>
      </w:r>
      <w:r>
        <w:rPr>
          <w:rFonts w:hint="eastAsia" w:ascii="Times New Roman" w:hAnsi="Times New Roman" w:eastAsia="方正仿宋_GBK" w:cs="Times New Roman"/>
          <w:color w:val="auto"/>
          <w:kern w:val="0"/>
          <w:szCs w:val="32"/>
          <w:highlight w:val="none"/>
          <w:lang w:bidi="ar"/>
        </w:rPr>
        <w:t>审计机关依法</w:t>
      </w:r>
      <w:r>
        <w:rPr>
          <w:rFonts w:hint="eastAsia" w:ascii="Times New Roman" w:hAnsi="Times New Roman" w:eastAsia="方正仿宋_GBK" w:cs="Times New Roman"/>
          <w:color w:val="auto"/>
          <w:kern w:val="0"/>
          <w:szCs w:val="32"/>
          <w:highlight w:val="none"/>
          <w:lang w:val="en-US" w:eastAsia="zh-CN" w:bidi="ar"/>
        </w:rPr>
        <w:t>依规</w:t>
      </w:r>
      <w:r>
        <w:rPr>
          <w:rFonts w:hint="eastAsia" w:ascii="Times New Roman" w:hAnsi="Times New Roman" w:eastAsia="方正仿宋_GBK" w:cs="Times New Roman"/>
          <w:color w:val="auto"/>
          <w:kern w:val="0"/>
          <w:szCs w:val="32"/>
          <w:highlight w:val="none"/>
          <w:lang w:bidi="ar"/>
        </w:rPr>
        <w:t>对公共数据资源开发利用情况进行审计监督。</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rPr>
      </w:pPr>
      <w:r>
        <w:rPr>
          <w:rFonts w:hint="eastAsia" w:ascii="方正楷体_GBK" w:hAnsi="方正楷体_GBK" w:eastAsia="方正楷体_GBK" w:cs="方正楷体_GBK"/>
          <w:b/>
          <w:bCs/>
          <w:color w:val="auto"/>
          <w:kern w:val="0"/>
          <w:szCs w:val="32"/>
          <w:highlight w:val="none"/>
          <w:lang w:bidi="ar"/>
        </w:rPr>
        <w:t>第十三条（纪律监督）</w:t>
      </w:r>
      <w:r>
        <w:rPr>
          <w:rFonts w:hint="eastAsia" w:ascii="Times New Roman" w:hAnsi="Times New Roman" w:eastAsia="方正仿宋_GBK" w:cs="Times New Roman"/>
          <w:color w:val="auto"/>
          <w:kern w:val="0"/>
          <w:szCs w:val="32"/>
          <w:highlight w:val="none"/>
        </w:rPr>
        <w:t>纪检监察机关立足职责定位，强化对公共数据资源开发利用工作中责任落实、权力运行、制度执行、安全管理和政策落地等情况的监督检查。巡视巡察机构将公共数据资源开发利用工作纳入巡视巡察监督范围。</w:t>
      </w:r>
    </w:p>
    <w:p>
      <w:pPr>
        <w:tabs>
          <w:tab w:val="left" w:pos="7471"/>
        </w:tabs>
        <w:spacing w:line="580" w:lineRule="exact"/>
        <w:rPr>
          <w:rFonts w:hint="eastAsia" w:ascii="方正仿宋_GBK" w:hAnsi="方正仿宋_GBK" w:eastAsia="方正仿宋_GBK" w:cs="方正仿宋_GBK"/>
          <w:color w:val="auto"/>
          <w:kern w:val="0"/>
          <w:szCs w:val="32"/>
          <w:highlight w:val="none"/>
        </w:rPr>
      </w:pPr>
      <w:r>
        <w:rPr>
          <w:rFonts w:hint="eastAsia" w:ascii="方正仿宋_GBK" w:hAnsi="方正仿宋_GBK" w:eastAsia="方正仿宋_GBK" w:cs="方正仿宋_GBK"/>
          <w:color w:val="auto"/>
          <w:kern w:val="0"/>
          <w:szCs w:val="32"/>
          <w:highlight w:val="none"/>
        </w:rPr>
        <w:tab/>
      </w:r>
    </w:p>
    <w:bookmarkEnd w:id="1"/>
    <w:p>
      <w:pPr>
        <w:widowControl/>
        <w:spacing w:line="580" w:lineRule="exact"/>
        <w:jc w:val="center"/>
        <w:outlineLvl w:val="0"/>
        <w:rPr>
          <w:rFonts w:hint="eastAsia" w:ascii="方正楷体_GBK" w:hAnsi="方正楷体_GBK" w:eastAsia="方正楷体_GBK" w:cs="方正楷体_GBK"/>
          <w:b/>
          <w:bCs/>
          <w:color w:val="auto"/>
          <w:kern w:val="0"/>
          <w:szCs w:val="32"/>
          <w:highlight w:val="none"/>
          <w:lang w:bidi="ar"/>
        </w:rPr>
      </w:pPr>
      <w:r>
        <w:rPr>
          <w:rFonts w:hint="eastAsia" w:ascii="方正黑体_GBK" w:hAnsi="方正黑体_GBK" w:eastAsia="方正黑体_GBK" w:cs="方正黑体_GBK"/>
          <w:color w:val="auto"/>
          <w:szCs w:val="32"/>
          <w:highlight w:val="none"/>
        </w:rPr>
        <w:t>第</w:t>
      </w:r>
      <w:r>
        <w:rPr>
          <w:rFonts w:hint="eastAsia" w:ascii="方正黑体_GBK" w:hAnsi="方正黑体_GBK" w:eastAsia="方正黑体_GBK" w:cs="方正黑体_GBK"/>
          <w:color w:val="auto"/>
          <w:szCs w:val="32"/>
          <w:highlight w:val="none"/>
          <w:lang w:val="en-US" w:eastAsia="zh-CN"/>
        </w:rPr>
        <w:t>三</w:t>
      </w:r>
      <w:r>
        <w:rPr>
          <w:rFonts w:hint="eastAsia" w:ascii="方正黑体_GBK" w:hAnsi="方正黑体_GBK" w:eastAsia="方正黑体_GBK" w:cs="方正黑体_GBK"/>
          <w:color w:val="auto"/>
          <w:szCs w:val="32"/>
          <w:highlight w:val="none"/>
        </w:rPr>
        <w:t xml:space="preserve">章 </w:t>
      </w:r>
      <w:r>
        <w:rPr>
          <w:rFonts w:hint="eastAsia" w:ascii="方正黑体_GBK" w:hAnsi="方正黑体_GBK" w:eastAsia="方正黑体_GBK" w:cs="方正黑体_GBK"/>
          <w:color w:val="auto"/>
          <w:szCs w:val="32"/>
          <w:highlight w:val="none"/>
          <w:lang w:val="en-US" w:eastAsia="zh-CN"/>
        </w:rPr>
        <w:t>奖励</w:t>
      </w:r>
      <w:r>
        <w:rPr>
          <w:rFonts w:hint="eastAsia" w:ascii="方正黑体_GBK" w:hAnsi="方正黑体_GBK" w:eastAsia="方正黑体_GBK" w:cs="方正黑体_GBK"/>
          <w:color w:val="auto"/>
          <w:szCs w:val="32"/>
          <w:highlight w:val="none"/>
        </w:rPr>
        <w:t>与责任追究</w:t>
      </w:r>
    </w:p>
    <w:p>
      <w:pPr>
        <w:widowControl/>
        <w:numPr>
          <w:ilvl w:val="255"/>
          <w:numId w:val="0"/>
        </w:numPr>
        <w:spacing w:line="580" w:lineRule="exact"/>
        <w:ind w:firstLine="632" w:firstLineChars="200"/>
        <w:outlineLvl w:val="1"/>
        <w:rPr>
          <w:rFonts w:ascii="Times New Roman" w:hAnsi="Times New Roman" w:eastAsia="方正仿宋_GBK" w:cs="Times New Roman"/>
          <w:color w:val="auto"/>
          <w:kern w:val="0"/>
          <w:szCs w:val="32"/>
          <w:highlight w:val="none"/>
        </w:rPr>
      </w:pPr>
      <w:r>
        <w:rPr>
          <w:rFonts w:hint="eastAsia" w:ascii="方正楷体_GBK" w:hAnsi="方正楷体_GBK" w:eastAsia="方正楷体_GBK" w:cs="方正楷体_GBK"/>
          <w:b/>
          <w:bCs/>
          <w:color w:val="auto"/>
          <w:kern w:val="0"/>
          <w:szCs w:val="32"/>
          <w:highlight w:val="none"/>
          <w:lang w:bidi="ar"/>
        </w:rPr>
        <w:t>第十四条（</w:t>
      </w:r>
      <w:r>
        <w:rPr>
          <w:rFonts w:hint="eastAsia" w:ascii="方正楷体_GBK" w:hAnsi="方正楷体_GBK" w:eastAsia="方正楷体_GBK" w:cs="方正楷体_GBK"/>
          <w:b/>
          <w:bCs/>
          <w:color w:val="auto"/>
          <w:kern w:val="0"/>
          <w:szCs w:val="32"/>
          <w:highlight w:val="none"/>
          <w:lang w:eastAsia="zh-CN" w:bidi="ar"/>
        </w:rPr>
        <w:t>成效激励</w:t>
      </w:r>
      <w:r>
        <w:rPr>
          <w:rFonts w:hint="eastAsia" w:ascii="方正楷体_GBK" w:hAnsi="方正楷体_GBK" w:eastAsia="方正楷体_GBK" w:cs="方正楷体_GBK"/>
          <w:b/>
          <w:bCs/>
          <w:color w:val="auto"/>
          <w:kern w:val="0"/>
          <w:szCs w:val="32"/>
          <w:highlight w:val="none"/>
          <w:lang w:bidi="ar"/>
        </w:rPr>
        <w:t>）</w:t>
      </w:r>
      <w:r>
        <w:rPr>
          <w:rFonts w:ascii="Times New Roman" w:hAnsi="Times New Roman" w:eastAsia="方正仿宋_GBK" w:cs="Times New Roman"/>
          <w:color w:val="auto"/>
          <w:kern w:val="0"/>
          <w:szCs w:val="32"/>
          <w:highlight w:val="none"/>
        </w:rPr>
        <w:t>对在公共数据资源</w:t>
      </w:r>
      <w:r>
        <w:rPr>
          <w:rFonts w:hint="eastAsia" w:ascii="Times New Roman" w:hAnsi="Times New Roman" w:eastAsia="方正仿宋_GBK" w:cs="Times New Roman"/>
          <w:color w:val="auto"/>
          <w:kern w:val="0"/>
          <w:szCs w:val="32"/>
          <w:highlight w:val="none"/>
        </w:rPr>
        <w:t>开发利用工作中</w:t>
      </w:r>
      <w:r>
        <w:rPr>
          <w:rFonts w:ascii="Times New Roman" w:hAnsi="Times New Roman" w:eastAsia="方正仿宋_GBK" w:cs="Times New Roman"/>
          <w:color w:val="auto"/>
          <w:kern w:val="0"/>
          <w:szCs w:val="32"/>
          <w:highlight w:val="none"/>
        </w:rPr>
        <w:t>责任落实到位、成效显著、贡献突出</w:t>
      </w:r>
      <w:r>
        <w:rPr>
          <w:rFonts w:hint="eastAsia" w:ascii="Times New Roman" w:hAnsi="Times New Roman" w:eastAsia="方正仿宋_GBK" w:cs="Times New Roman"/>
          <w:color w:val="auto"/>
          <w:kern w:val="0"/>
          <w:szCs w:val="32"/>
          <w:highlight w:val="none"/>
        </w:rPr>
        <w:t>的</w:t>
      </w:r>
      <w:r>
        <w:rPr>
          <w:rFonts w:ascii="Times New Roman" w:hAnsi="Times New Roman" w:eastAsia="方正仿宋_GBK" w:cs="Times New Roman"/>
          <w:color w:val="auto"/>
          <w:kern w:val="0"/>
          <w:szCs w:val="32"/>
          <w:highlight w:val="none"/>
        </w:rPr>
        <w:t>部门单位及个人，按照</w:t>
      </w:r>
      <w:r>
        <w:rPr>
          <w:rFonts w:hint="eastAsia" w:ascii="Times New Roman" w:hAnsi="Times New Roman" w:eastAsia="方正仿宋_GBK" w:cs="Times New Roman"/>
          <w:color w:val="auto"/>
          <w:kern w:val="0"/>
          <w:szCs w:val="32"/>
          <w:highlight w:val="none"/>
          <w:lang w:eastAsia="zh-CN"/>
        </w:rPr>
        <w:t>国家和省有关</w:t>
      </w:r>
      <w:r>
        <w:rPr>
          <w:rFonts w:ascii="Times New Roman" w:hAnsi="Times New Roman" w:eastAsia="方正仿宋_GBK" w:cs="Times New Roman"/>
          <w:color w:val="auto"/>
          <w:kern w:val="0"/>
          <w:szCs w:val="32"/>
          <w:highlight w:val="none"/>
        </w:rPr>
        <w:t>规定给予</w:t>
      </w:r>
      <w:r>
        <w:rPr>
          <w:rFonts w:hint="eastAsia" w:ascii="Times New Roman" w:hAnsi="Times New Roman" w:eastAsia="方正仿宋_GBK" w:cs="Times New Roman"/>
          <w:color w:val="auto"/>
          <w:kern w:val="0"/>
          <w:szCs w:val="32"/>
          <w:highlight w:val="none"/>
          <w:lang w:eastAsia="zh-CN"/>
        </w:rPr>
        <w:t>激励</w:t>
      </w:r>
      <w:r>
        <w:rPr>
          <w:rFonts w:ascii="Times New Roman" w:hAnsi="Times New Roman" w:eastAsia="方正仿宋_GBK" w:cs="Times New Roman"/>
          <w:color w:val="auto"/>
          <w:kern w:val="0"/>
          <w:szCs w:val="32"/>
          <w:highlight w:val="none"/>
        </w:rPr>
        <w:t>。</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第十五条（资源激励）</w:t>
      </w:r>
      <w:r>
        <w:rPr>
          <w:rFonts w:hint="eastAsia" w:ascii="Times New Roman" w:hAnsi="Times New Roman" w:eastAsia="方正仿宋_GBK" w:cs="Times New Roman"/>
          <w:color w:val="auto"/>
          <w:kern w:val="0"/>
          <w:szCs w:val="32"/>
          <w:highlight w:val="none"/>
          <w:lang w:bidi="ar"/>
        </w:rPr>
        <w:t>对公共数据资源开发利用成效突出的部门单位，在符合国家和省有关规定的前提下，可给予以下激励：</w:t>
      </w:r>
    </w:p>
    <w:p>
      <w:pPr>
        <w:spacing w:line="580" w:lineRule="exact"/>
        <w:ind w:firstLine="632" w:firstLineChars="200"/>
        <w:rPr>
          <w:rFonts w:hint="eastAsia" w:ascii="Times New Roman" w:hAnsi="Times New Roman" w:eastAsia="方正仿宋_GBK" w:cs="Times New Roman"/>
          <w:color w:val="auto"/>
          <w:kern w:val="0"/>
          <w:szCs w:val="32"/>
          <w:highlight w:val="none"/>
          <w:lang w:eastAsia="zh-CN" w:bidi="ar"/>
        </w:rPr>
      </w:pPr>
      <w:r>
        <w:rPr>
          <w:rFonts w:hint="eastAsia" w:ascii="Times New Roman" w:hAnsi="Times New Roman" w:eastAsia="方正仿宋_GBK" w:cs="Times New Roman"/>
          <w:color w:val="auto"/>
          <w:kern w:val="0"/>
          <w:szCs w:val="32"/>
          <w:highlight w:val="none"/>
          <w:lang w:bidi="ar"/>
        </w:rPr>
        <w:t>（一）</w:t>
      </w:r>
      <w:r>
        <w:rPr>
          <w:rFonts w:hint="eastAsia" w:ascii="Times New Roman" w:hAnsi="Times New Roman" w:eastAsia="方正仿宋_GBK" w:cs="Times New Roman"/>
          <w:color w:val="auto"/>
          <w:kern w:val="0"/>
          <w:szCs w:val="32"/>
          <w:highlight w:val="none"/>
          <w:lang w:val="en-US" w:eastAsia="zh-CN" w:bidi="ar"/>
        </w:rPr>
        <w:t>作为政务信息化项目立项和</w:t>
      </w:r>
      <w:r>
        <w:rPr>
          <w:rFonts w:hint="eastAsia" w:ascii="Times New Roman" w:hAnsi="Times New Roman" w:eastAsia="方正仿宋_GBK" w:cs="Times New Roman"/>
          <w:color w:val="auto"/>
          <w:kern w:val="0"/>
          <w:szCs w:val="32"/>
          <w:highlight w:val="none"/>
          <w:lang w:bidi="ar"/>
        </w:rPr>
        <w:t>验收的重要依据</w:t>
      </w:r>
      <w:r>
        <w:rPr>
          <w:rFonts w:hint="eastAsia" w:ascii="Times New Roman" w:hAnsi="Times New Roman" w:eastAsia="方正仿宋_GBK" w:cs="Times New Roman"/>
          <w:color w:val="auto"/>
          <w:kern w:val="0"/>
          <w:szCs w:val="32"/>
          <w:highlight w:val="none"/>
          <w:lang w:eastAsia="zh-CN" w:bidi="ar"/>
        </w:rPr>
        <w:t>；</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（二）</w:t>
      </w:r>
      <w:r>
        <w:rPr>
          <w:rFonts w:hint="eastAsia" w:ascii="Times New Roman" w:hAnsi="Times New Roman" w:eastAsia="方正仿宋_GBK" w:cs="Times New Roman"/>
          <w:color w:val="auto"/>
          <w:kern w:val="0"/>
          <w:szCs w:val="32"/>
          <w:highlight w:val="none"/>
          <w:lang w:val="en-US" w:eastAsia="zh-CN" w:bidi="ar"/>
        </w:rPr>
        <w:t>作为</w:t>
      </w:r>
      <w:r>
        <w:rPr>
          <w:rFonts w:hint="eastAsia" w:ascii="Times New Roman" w:hAnsi="Times New Roman" w:eastAsia="方正仿宋_GBK" w:cs="Times New Roman"/>
          <w:color w:val="auto"/>
          <w:kern w:val="0"/>
          <w:szCs w:val="32"/>
          <w:highlight w:val="none"/>
          <w:lang w:bidi="ar"/>
        </w:rPr>
        <w:t>系统运维、数据治理、应用创新等专项经费安排和</w:t>
      </w:r>
      <w:r>
        <w:rPr>
          <w:rFonts w:hint="eastAsia" w:ascii="Times New Roman" w:hAnsi="Times New Roman" w:eastAsia="方正仿宋_GBK" w:cs="方正仿宋_GBK"/>
          <w:color w:val="auto"/>
          <w:szCs w:val="32"/>
          <w:highlight w:val="none"/>
        </w:rPr>
        <w:t>云网资源</w:t>
      </w:r>
      <w:r>
        <w:rPr>
          <w:rFonts w:hint="eastAsia" w:ascii="Times New Roman" w:hAnsi="Times New Roman" w:eastAsia="方正仿宋_GBK" w:cs="方正仿宋_GBK"/>
          <w:color w:val="auto"/>
          <w:szCs w:val="32"/>
          <w:highlight w:val="none"/>
          <w:lang w:val="en-US" w:eastAsia="zh-CN"/>
        </w:rPr>
        <w:t>配置</w:t>
      </w:r>
      <w:r>
        <w:rPr>
          <w:rFonts w:hint="eastAsia" w:ascii="Times New Roman" w:hAnsi="Times New Roman" w:eastAsia="方正仿宋_GBK" w:cs="方正仿宋_GBK"/>
          <w:color w:val="auto"/>
          <w:szCs w:val="32"/>
          <w:highlight w:val="none"/>
          <w:lang w:eastAsia="zh-CN"/>
        </w:rPr>
        <w:t>的</w:t>
      </w:r>
      <w:r>
        <w:rPr>
          <w:rFonts w:hint="eastAsia" w:ascii="Times New Roman" w:hAnsi="Times New Roman" w:eastAsia="方正仿宋_GBK" w:cs="Times New Roman"/>
          <w:color w:val="auto"/>
          <w:kern w:val="0"/>
          <w:szCs w:val="32"/>
          <w:highlight w:val="none"/>
          <w:lang w:val="en-US" w:eastAsia="zh-CN" w:bidi="ar"/>
        </w:rPr>
        <w:t>重要参考</w:t>
      </w:r>
      <w:r>
        <w:rPr>
          <w:rFonts w:hint="eastAsia" w:ascii="Times New Roman" w:hAnsi="Times New Roman" w:eastAsia="方正仿宋_GBK" w:cs="Times New Roman"/>
          <w:color w:val="auto"/>
          <w:kern w:val="0"/>
          <w:szCs w:val="32"/>
          <w:highlight w:val="none"/>
          <w:lang w:eastAsia="zh-CN" w:bidi="ar"/>
        </w:rPr>
        <w:t>；</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（三）</w:t>
      </w:r>
      <w:r>
        <w:rPr>
          <w:rFonts w:hint="eastAsia" w:ascii="Times New Roman" w:hAnsi="Times New Roman" w:eastAsia="方正仿宋_GBK" w:cs="Times New Roman"/>
          <w:color w:val="auto"/>
          <w:kern w:val="0"/>
          <w:szCs w:val="32"/>
          <w:highlight w:val="none"/>
          <w:lang w:val="en-US" w:eastAsia="zh-CN" w:bidi="ar"/>
        </w:rPr>
        <w:t>作为推荐</w:t>
      </w:r>
      <w:r>
        <w:rPr>
          <w:rFonts w:hint="eastAsia" w:ascii="Times New Roman" w:hAnsi="Times New Roman" w:eastAsia="方正仿宋_GBK" w:cs="Times New Roman"/>
          <w:color w:val="auto"/>
          <w:kern w:val="0"/>
          <w:szCs w:val="32"/>
          <w:highlight w:val="none"/>
          <w:lang w:bidi="ar"/>
        </w:rPr>
        <w:t>国家和省级数据要素市场化配置改革、数据创新应用等试点示范项目</w:t>
      </w:r>
      <w:r>
        <w:rPr>
          <w:rFonts w:hint="eastAsia" w:ascii="Times New Roman" w:hAnsi="Times New Roman" w:eastAsia="方正仿宋_GBK" w:cs="方正仿宋_GBK"/>
          <w:color w:val="auto"/>
          <w:szCs w:val="32"/>
          <w:highlight w:val="none"/>
          <w:lang w:eastAsia="zh-CN"/>
        </w:rPr>
        <w:t>的</w:t>
      </w:r>
      <w:r>
        <w:rPr>
          <w:rFonts w:hint="eastAsia" w:ascii="Times New Roman" w:hAnsi="Times New Roman" w:eastAsia="方正仿宋_GBK" w:cs="Times New Roman"/>
          <w:color w:val="auto"/>
          <w:kern w:val="0"/>
          <w:szCs w:val="32"/>
          <w:highlight w:val="none"/>
          <w:lang w:val="en-US" w:eastAsia="zh-CN" w:bidi="ar"/>
        </w:rPr>
        <w:t>重要参考</w:t>
      </w:r>
      <w:r>
        <w:rPr>
          <w:rFonts w:hint="eastAsia" w:ascii="Times New Roman" w:hAnsi="Times New Roman" w:eastAsia="方正仿宋_GBK" w:cs="Times New Roman"/>
          <w:color w:val="auto"/>
          <w:kern w:val="0"/>
          <w:szCs w:val="32"/>
          <w:highlight w:val="none"/>
          <w:lang w:eastAsia="zh-CN" w:bidi="ar"/>
        </w:rPr>
        <w:t>；</w:t>
      </w:r>
    </w:p>
    <w:p>
      <w:pPr>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Times New Roman" w:hAnsi="Times New Roman" w:eastAsia="方正仿宋_GBK" w:cs="Times New Roman"/>
          <w:color w:val="auto"/>
          <w:kern w:val="0"/>
          <w:szCs w:val="32"/>
          <w:highlight w:val="none"/>
          <w:lang w:bidi="ar"/>
        </w:rPr>
        <w:t>（四）</w:t>
      </w:r>
      <w:r>
        <w:rPr>
          <w:rFonts w:hint="eastAsia" w:ascii="Times New Roman" w:hAnsi="Times New Roman" w:eastAsia="方正仿宋_GBK" w:cs="Times New Roman"/>
          <w:color w:val="auto"/>
          <w:kern w:val="0"/>
          <w:szCs w:val="32"/>
          <w:highlight w:val="none"/>
          <w:lang w:val="en-US" w:eastAsia="zh-CN" w:bidi="ar"/>
        </w:rPr>
        <w:t>作为</w:t>
      </w:r>
      <w:r>
        <w:rPr>
          <w:rFonts w:hint="eastAsia" w:ascii="Times New Roman" w:hAnsi="Times New Roman" w:eastAsia="方正仿宋_GBK" w:cs="Times New Roman"/>
          <w:color w:val="auto"/>
          <w:kern w:val="0"/>
          <w:szCs w:val="32"/>
          <w:highlight w:val="none"/>
          <w:lang w:bidi="ar"/>
        </w:rPr>
        <w:t>相关工作人员评优评先、培训深造等方面</w:t>
      </w:r>
      <w:r>
        <w:rPr>
          <w:rFonts w:hint="eastAsia" w:ascii="Times New Roman" w:hAnsi="Times New Roman" w:eastAsia="方正仿宋_GBK" w:cs="Times New Roman"/>
          <w:color w:val="auto"/>
          <w:kern w:val="0"/>
          <w:szCs w:val="32"/>
          <w:highlight w:val="none"/>
          <w:lang w:val="en-US" w:eastAsia="zh-CN" w:bidi="ar"/>
        </w:rPr>
        <w:t>的重要参考</w:t>
      </w:r>
      <w:r>
        <w:rPr>
          <w:rFonts w:hint="eastAsia" w:ascii="Times New Roman" w:hAnsi="Times New Roman" w:eastAsia="方正仿宋_GBK" w:cs="Times New Roman"/>
          <w:color w:val="auto"/>
          <w:kern w:val="0"/>
          <w:szCs w:val="32"/>
          <w:highlight w:val="none"/>
          <w:lang w:bidi="ar"/>
        </w:rPr>
        <w:t>。</w:t>
      </w:r>
    </w:p>
    <w:p>
      <w:pPr>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第十六条（收益分配激励）</w:t>
      </w:r>
      <w:r>
        <w:rPr>
          <w:rFonts w:hint="eastAsia" w:ascii="Times New Roman" w:hAnsi="Times New Roman" w:eastAsia="方正仿宋_GBK" w:cs="Times New Roman"/>
          <w:color w:val="auto"/>
          <w:kern w:val="0"/>
          <w:szCs w:val="32"/>
          <w:highlight w:val="none"/>
          <w:lang w:bidi="ar"/>
        </w:rPr>
        <w:t>发展改革、财政、</w:t>
      </w:r>
      <w:r>
        <w:rPr>
          <w:rFonts w:ascii="Times New Roman" w:hAnsi="Times New Roman" w:eastAsia="方正仿宋_GBK" w:cs="Times New Roman"/>
          <w:color w:val="auto"/>
          <w:kern w:val="0"/>
          <w:szCs w:val="32"/>
          <w:highlight w:val="none"/>
          <w:lang w:bidi="ar"/>
        </w:rPr>
        <w:t>数据等部门</w:t>
      </w:r>
      <w:r>
        <w:rPr>
          <w:rFonts w:hint="eastAsia" w:ascii="Times New Roman" w:hAnsi="Times New Roman" w:eastAsia="方正仿宋_GBK" w:cs="Times New Roman"/>
          <w:color w:val="auto"/>
          <w:kern w:val="0"/>
          <w:szCs w:val="32"/>
          <w:highlight w:val="none"/>
          <w:lang w:bidi="ar"/>
        </w:rPr>
        <w:t>单位应当按照“谁贡献谁受益”原则，在合规前提下</w:t>
      </w:r>
      <w:r>
        <w:rPr>
          <w:rFonts w:ascii="Times New Roman" w:hAnsi="Times New Roman" w:eastAsia="方正仿宋_GBK" w:cs="Times New Roman"/>
          <w:color w:val="auto"/>
          <w:kern w:val="0"/>
          <w:szCs w:val="32"/>
          <w:highlight w:val="none"/>
          <w:lang w:bidi="ar"/>
        </w:rPr>
        <w:t>建立</w:t>
      </w:r>
      <w:r>
        <w:rPr>
          <w:rFonts w:ascii="Times New Roman" w:hAnsi="Times New Roman" w:eastAsia="方正仿宋_GBK" w:cs="Times New Roman"/>
          <w:color w:val="auto"/>
          <w:szCs w:val="32"/>
          <w:highlight w:val="none"/>
        </w:rPr>
        <w:t>保障公平的</w:t>
      </w:r>
      <w:r>
        <w:rPr>
          <w:rFonts w:hint="eastAsia" w:ascii="Times New Roman" w:hAnsi="Times New Roman" w:eastAsia="方正仿宋_GBK" w:cs="Times New Roman"/>
          <w:color w:val="auto"/>
          <w:kern w:val="0"/>
          <w:szCs w:val="32"/>
          <w:highlight w:val="none"/>
          <w:lang w:bidi="ar"/>
        </w:rPr>
        <w:t>公共数据授权运营</w:t>
      </w:r>
      <w:r>
        <w:rPr>
          <w:rFonts w:ascii="Times New Roman" w:hAnsi="Times New Roman" w:eastAsia="方正仿宋_GBK" w:cs="Times New Roman"/>
          <w:color w:val="auto"/>
          <w:kern w:val="0"/>
          <w:szCs w:val="32"/>
          <w:highlight w:val="none"/>
          <w:lang w:bidi="ar"/>
        </w:rPr>
        <w:t>收益分配机制，</w:t>
      </w:r>
      <w:r>
        <w:rPr>
          <w:rFonts w:hint="eastAsia" w:ascii="Times New Roman" w:hAnsi="Times New Roman" w:eastAsia="方正仿宋_GBK" w:cs="Times New Roman"/>
          <w:color w:val="auto"/>
          <w:kern w:val="0"/>
          <w:szCs w:val="32"/>
          <w:highlight w:val="none"/>
          <w:lang w:bidi="ar"/>
        </w:rPr>
        <w:t>激励</w:t>
      </w:r>
      <w:r>
        <w:rPr>
          <w:rFonts w:ascii="Times New Roman" w:hAnsi="Times New Roman" w:eastAsia="方正仿宋_GBK" w:cs="Times New Roman"/>
          <w:color w:val="auto"/>
          <w:kern w:val="0"/>
          <w:szCs w:val="32"/>
          <w:highlight w:val="none"/>
          <w:lang w:bidi="ar"/>
        </w:rPr>
        <w:t>数据提供</w:t>
      </w:r>
      <w:r>
        <w:rPr>
          <w:rFonts w:hint="eastAsia" w:ascii="Times New Roman" w:hAnsi="Times New Roman" w:eastAsia="方正仿宋_GBK" w:cs="Times New Roman"/>
          <w:color w:val="auto"/>
          <w:kern w:val="0"/>
          <w:szCs w:val="32"/>
          <w:highlight w:val="none"/>
          <w:lang w:bidi="ar"/>
        </w:rPr>
        <w:t>方、公共数据运营机构的</w:t>
      </w:r>
      <w:r>
        <w:rPr>
          <w:rFonts w:ascii="Times New Roman" w:hAnsi="Times New Roman" w:eastAsia="方正仿宋_GBK" w:cs="Times New Roman"/>
          <w:color w:val="auto"/>
          <w:szCs w:val="32"/>
          <w:highlight w:val="none"/>
        </w:rPr>
        <w:t>数据价值创造和价值实现</w:t>
      </w:r>
      <w:r>
        <w:rPr>
          <w:rFonts w:hint="eastAsia" w:ascii="Times New Roman" w:hAnsi="Times New Roman" w:eastAsia="方正仿宋_GBK" w:cs="Times New Roman"/>
          <w:color w:val="auto"/>
          <w:kern w:val="0"/>
          <w:szCs w:val="32"/>
          <w:highlight w:val="none"/>
          <w:lang w:bidi="ar"/>
        </w:rPr>
        <w:t>。</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第十七条（经费约束措施）</w:t>
      </w:r>
      <w:r>
        <w:rPr>
          <w:rFonts w:hint="eastAsia" w:ascii="Times New Roman" w:hAnsi="Times New Roman" w:eastAsia="方正仿宋_GBK" w:cs="Times New Roman"/>
          <w:color w:val="auto"/>
          <w:kern w:val="0"/>
          <w:szCs w:val="32"/>
          <w:highlight w:val="none"/>
          <w:lang w:bidi="ar"/>
        </w:rPr>
        <w:t>对于未能履行公共数据资源开发利用责任，或者在监测评估、监督检查中发现存在严重问题的地区、部门单位，除依法追究责任外，可视情节采取经费约束措施。</w:t>
      </w:r>
    </w:p>
    <w:p>
      <w:pPr>
        <w:widowControl/>
        <w:spacing w:line="580" w:lineRule="exact"/>
        <w:ind w:firstLine="632" w:firstLineChars="200"/>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第十八条（部门单位责任）</w:t>
      </w:r>
      <w:r>
        <w:rPr>
          <w:rFonts w:hint="eastAsia" w:ascii="Times New Roman" w:hAnsi="Times New Roman" w:eastAsia="方正仿宋_GBK" w:cs="Times New Roman"/>
          <w:color w:val="auto"/>
          <w:kern w:val="0"/>
          <w:szCs w:val="32"/>
          <w:highlight w:val="none"/>
          <w:lang w:bidi="ar"/>
        </w:rPr>
        <w:t>公共管理和服务机构违反本规定第六条，由上级机关或同级数据主管部门商有关监管部门责令改正；拒不改正或者情节严重的，对负有责任的领导人员和直接责任人员依法给予处分。</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第十九条（运行管理责任）</w:t>
      </w:r>
      <w:r>
        <w:rPr>
          <w:rFonts w:hint="eastAsia" w:ascii="Times New Roman" w:hAnsi="Times New Roman" w:eastAsia="方正仿宋_GBK" w:cs="Times New Roman"/>
          <w:color w:val="auto"/>
          <w:kern w:val="0"/>
          <w:szCs w:val="32"/>
          <w:highlight w:val="none"/>
          <w:lang w:bidi="ar"/>
        </w:rPr>
        <w:t>公共数据运行管理机构违反本规定第七条，由数据主管部门商有关监管部门责令改正；造成严重后果的，依法追究相关人员责任。</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第二十条（运营责任）</w:t>
      </w:r>
      <w:r>
        <w:rPr>
          <w:rFonts w:hint="eastAsia" w:ascii="Times New Roman" w:hAnsi="Times New Roman" w:eastAsia="方正仿宋_GBK" w:cs="Times New Roman"/>
          <w:color w:val="auto"/>
          <w:kern w:val="0"/>
          <w:szCs w:val="32"/>
          <w:highlight w:val="none"/>
          <w:lang w:bidi="ar"/>
        </w:rPr>
        <w:t>公共数据运营机构违反本规定第八条，超出授权范围使用数据、擅自向第三方流转数据、数据产品未履行安全合规审查、未履行安全保护义务导致数据泄露的，由相关监管部门依法处罚、追究责任。</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第二十一条（监管责任）</w:t>
      </w:r>
      <w:r>
        <w:rPr>
          <w:rFonts w:hint="eastAsia" w:ascii="Times New Roman" w:hAnsi="Times New Roman" w:eastAsia="方正仿宋_GBK" w:cs="Times New Roman"/>
          <w:color w:val="auto"/>
          <w:kern w:val="0"/>
          <w:szCs w:val="32"/>
          <w:highlight w:val="none"/>
          <w:lang w:bidi="ar"/>
        </w:rPr>
        <w:t>数据主管部门及相关监管部门违反本规定，由本级人民政府或者上级主管部门责令改正；拒不改正或者情节严重的，对负有责任的领导人员和直接责任人员依法给予处分。</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第二十二条（工作责任）</w:t>
      </w:r>
      <w:r>
        <w:rPr>
          <w:rFonts w:hint="eastAsia" w:ascii="Times New Roman" w:hAnsi="Times New Roman" w:eastAsia="方正仿宋_GBK" w:cs="Times New Roman"/>
          <w:color w:val="auto"/>
          <w:kern w:val="0"/>
          <w:szCs w:val="32"/>
          <w:highlight w:val="none"/>
          <w:lang w:bidi="ar"/>
        </w:rPr>
        <w:t>相关部门单位及其工作人员在公共数据资源开发利用工作过程中泄露、出售或者非法向他人提供知悉的个人隐私、个人信息、商业秘密、保密商务信息的，或者玩忽职守、滥用职权、徇私舞弊的，依法给予处分；构成犯罪的，依法追究刑事责任。</w:t>
      </w:r>
    </w:p>
    <w:p>
      <w:pPr>
        <w:widowControl/>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第二十三条（尽职免责）</w:t>
      </w:r>
      <w:r>
        <w:rPr>
          <w:rFonts w:hint="eastAsia" w:ascii="Times New Roman" w:hAnsi="Times New Roman" w:eastAsia="方正仿宋_GBK" w:cs="Times New Roman"/>
          <w:color w:val="auto"/>
          <w:kern w:val="0"/>
          <w:szCs w:val="32"/>
          <w:highlight w:val="none"/>
          <w:lang w:bidi="ar"/>
        </w:rPr>
        <w:t>对在公共数据共享开放、授权运营等工作中，围绕数据资源供给、产品开发流通、应用场景建设先行先试，未谋取私利且勤勉尽责，未违反法律法规禁止性规定，但因缺乏经验、不可抗力等因素出现失误或者未达预期效果的，可依法依规免除或者减轻责任。</w:t>
      </w:r>
    </w:p>
    <w:p>
      <w:pPr>
        <w:widowControl/>
        <w:spacing w:line="580" w:lineRule="exact"/>
        <w:ind w:firstLine="632" w:firstLineChars="200"/>
        <w:rPr>
          <w:rFonts w:ascii="Times New Roman" w:hAnsi="Times New Roman" w:eastAsia="方正仿宋_GBK" w:cs="Times New Roman"/>
          <w:color w:val="auto"/>
          <w:kern w:val="0"/>
          <w:szCs w:val="32"/>
          <w:highlight w:val="none"/>
          <w:lang w:bidi="ar"/>
        </w:rPr>
      </w:pPr>
    </w:p>
    <w:p>
      <w:pPr>
        <w:spacing w:line="580" w:lineRule="exact"/>
        <w:jc w:val="center"/>
        <w:outlineLvl w:val="0"/>
        <w:rPr>
          <w:rFonts w:hint="eastAsia" w:ascii="方正楷体_GBK" w:hAnsi="方正楷体_GBK" w:eastAsia="方正楷体_GBK" w:cs="方正楷体_GBK"/>
          <w:b/>
          <w:bCs/>
          <w:color w:val="auto"/>
          <w:kern w:val="0"/>
          <w:szCs w:val="32"/>
          <w:highlight w:val="none"/>
          <w:lang w:bidi="ar"/>
        </w:rPr>
      </w:pPr>
      <w:r>
        <w:rPr>
          <w:rFonts w:hint="eastAsia" w:ascii="方正黑体_GBK" w:hAnsi="方正黑体_GBK" w:eastAsia="方正黑体_GBK" w:cs="方正黑体_GBK"/>
          <w:color w:val="auto"/>
          <w:szCs w:val="32"/>
          <w:highlight w:val="none"/>
        </w:rPr>
        <w:t>第</w:t>
      </w:r>
      <w:r>
        <w:rPr>
          <w:rFonts w:hint="eastAsia" w:ascii="方正黑体_GBK" w:hAnsi="方正黑体_GBK" w:eastAsia="方正黑体_GBK" w:cs="方正黑体_GBK"/>
          <w:color w:val="auto"/>
          <w:szCs w:val="32"/>
          <w:highlight w:val="none"/>
          <w:lang w:val="en-US" w:eastAsia="zh-CN"/>
        </w:rPr>
        <w:t>四</w:t>
      </w:r>
      <w:r>
        <w:rPr>
          <w:rFonts w:hint="eastAsia" w:ascii="方正黑体_GBK" w:hAnsi="方正黑体_GBK" w:eastAsia="方正黑体_GBK" w:cs="方正黑体_GBK"/>
          <w:color w:val="auto"/>
          <w:szCs w:val="32"/>
          <w:highlight w:val="none"/>
        </w:rPr>
        <w:t>章 附则</w:t>
      </w:r>
    </w:p>
    <w:p>
      <w:pPr>
        <w:spacing w:line="580" w:lineRule="exact"/>
        <w:ind w:firstLine="632" w:firstLineChars="200"/>
        <w:outlineLvl w:val="1"/>
        <w:rPr>
          <w:rFonts w:ascii="Times New Roman" w:hAnsi="Times New Roman" w:eastAsia="方正仿宋_GBK" w:cs="Times New Roman"/>
          <w:color w:val="auto"/>
          <w:kern w:val="0"/>
          <w:szCs w:val="32"/>
          <w:highlight w:val="none"/>
          <w:lang w:bidi="ar"/>
        </w:rPr>
      </w:pPr>
      <w:r>
        <w:rPr>
          <w:rFonts w:hint="eastAsia" w:ascii="方正楷体_GBK" w:hAnsi="方正楷体_GBK" w:eastAsia="方正楷体_GBK" w:cs="方正楷体_GBK"/>
          <w:b/>
          <w:bCs/>
          <w:color w:val="auto"/>
          <w:kern w:val="0"/>
          <w:szCs w:val="32"/>
          <w:highlight w:val="none"/>
          <w:lang w:bidi="ar"/>
        </w:rPr>
        <w:t>第二十四条</w:t>
      </w:r>
      <w:r>
        <w:rPr>
          <w:rFonts w:hint="eastAsia" w:ascii="Times New Roman" w:hAnsi="Times New Roman" w:eastAsia="方正仿宋_GBK" w:cs="Times New Roman"/>
          <w:color w:val="auto"/>
          <w:kern w:val="0"/>
          <w:szCs w:val="32"/>
          <w:highlight w:val="none"/>
          <w:lang w:bidi="ar"/>
        </w:rPr>
        <w:t xml:space="preserve"> 本规定自发布之日起施行。</w:t>
      </w:r>
    </w:p>
    <w:p>
      <w:pPr>
        <w:pStyle w:val="16"/>
        <w:spacing w:line="580" w:lineRule="exact"/>
        <w:ind w:left="0" w:leftChars="0" w:firstLine="0" w:firstLineChars="0"/>
        <w:jc w:val="both"/>
        <w:rPr>
          <w:rFonts w:hint="eastAsia" w:eastAsia="方正仿宋_GBK"/>
          <w:color w:val="auto"/>
          <w:highlight w:val="none"/>
          <w:lang w:val="en-US"/>
        </w:rPr>
      </w:pPr>
    </w:p>
    <w:sectPr>
      <w:headerReference r:id="rId3" w:type="default"/>
      <w:footerReference r:id="rId5" w:type="default"/>
      <w:headerReference r:id="rId4" w:type="even"/>
      <w:footerReference r:id="rId6" w:type="even"/>
      <w:pgSz w:w="11907" w:h="16839"/>
      <w:pgMar w:top="1871" w:right="1587" w:bottom="1984" w:left="1474" w:header="850" w:footer="1417" w:gutter="0"/>
      <w:cols w:space="720" w:num="1"/>
      <w:docGrid w:type="linesAndChars" w:linePitch="590" w:charSpace="-83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altName w:val="方正书宋_GBK"/>
    <w:panose1 w:val="02010600030101010101"/>
    <w:charset w:val="50"/>
    <w:family w:val="auto"/>
    <w:pitch w:val="default"/>
    <w:sig w:usb0="00000000" w:usb1="00000000" w:usb2="00000006"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仿宋_GB2312">
    <w:altName w:val="方正仿宋_GBK"/>
    <w:panose1 w:val="00000000000000000000"/>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Times New Roman Regular">
    <w:altName w:val="Times New Roman"/>
    <w:panose1 w:val="02020503050405090304"/>
    <w:charset w:val="00"/>
    <w:family w:val="auto"/>
    <w:pitch w:val="default"/>
    <w:sig w:usb0="00000000" w:usb1="00000000" w:usb2="00000001" w:usb3="00000000" w:csb0="400001BF" w:csb1="DFF70000"/>
  </w:font>
  <w:font w:name="方正小标宋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bidi/>
                            <w:ind w:firstLine="280" w:firstLineChars="10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M1w58KgIAAFU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gizZlnY6p3lEToq5u3qGCBgp2sUpVdi0ArT1nVmeBlxnP/cd1GPf4Pl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BYAAABk&#10;cnMvUEsBAhQAFAAAAAgAh07iQLNJWO7QAAAABQEAAA8AAAAAAAAAAQAgAAAAOAAAAGRycy9kb3du&#10;cmV2LnhtbFBLAQIUABQAAAAIAIdO4kCM1w58KgIAAFUEAAAOAAAAAAAAAAEAIAAAADUBAABkcnMv&#10;ZTJvRG9jLnhtbFBLBQYAAAAABgAGAFkBAADRBQAAAAA=&#10;">
              <v:fill on="f" focussize="0,0"/>
              <v:stroke on="f" weight="0.5pt"/>
              <v:imagedata o:title=""/>
              <o:lock v:ext="edit" aspectratio="f"/>
              <v:textbox inset="0mm,0mm,0mm,0mm" style="mso-fit-shape-to-text:t;">
                <w:txbxContent>
                  <w:p>
                    <w:pPr>
                      <w:pStyle w:val="6"/>
                      <w:bidi/>
                      <w:ind w:firstLine="280" w:firstLineChars="10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ind w:firstLine="280" w:firstLineChars="100"/>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fldChar w:fldCharType="begin"/>
                          </w:r>
                          <w:r>
                            <w:rPr>
                              <w:rFonts w:ascii="Times New Roman Regular" w:hAnsi="Times New Roman Regular" w:cs="Times New Roman Regular"/>
                              <w:sz w:val="28"/>
                              <w:szCs w:val="28"/>
                            </w:rPr>
                            <w:instrText xml:space="preserve"> PAGE  \* MERGEFORMAT </w:instrText>
                          </w:r>
                          <w:r>
                            <w:rPr>
                              <w:rFonts w:ascii="Times New Roman Regular" w:hAnsi="Times New Roman Regular" w:cs="Times New Roman Regular"/>
                              <w:sz w:val="28"/>
                              <w:szCs w:val="28"/>
                            </w:rPr>
                            <w:fldChar w:fldCharType="separate"/>
                          </w:r>
                          <w:r>
                            <w:rPr>
                              <w:rFonts w:ascii="Times New Roman Regular" w:hAnsi="Times New Roman Regular" w:cs="Times New Roman Regular"/>
                              <w:sz w:val="28"/>
                              <w:szCs w:val="28"/>
                            </w:rPr>
                            <w:t>2</w:t>
                          </w:r>
                          <w:r>
                            <w:rPr>
                              <w:rFonts w:ascii="Times New Roman Regular" w:hAnsi="Times New Roman Regular" w:cs="Times New Roman Regular"/>
                              <w:sz w:val="28"/>
                              <w:szCs w:val="28"/>
                            </w:rPr>
                            <w:fldChar w:fldCharType="end"/>
                          </w:r>
                          <w:r>
                            <w:rPr>
                              <w:rFonts w:ascii="Times New Roman Regular" w:hAnsi="Times New Roman Regular" w:cs="Times New Roman Regula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FYYw/KwIAAFUEAAAOAAAAZHJz&#10;L2Uyb0RvYy54bWytVM2O0zAQviPxDpbvNG0Rq6pquipbFSFV7EoFcXYdp4nkP9luk/IA8AacuHDn&#10;ufocfHaSLlo47IGLM/aMv/H3zUwWt62S5CScr43O6WQ0pkRobopaH3L66ePm1YwSH5gumDRa5PQs&#10;PL1dvnyxaOxcTE1lZCEcAYj288bmtArBzrPM80oo5kfGCg1naZxiAVt3yArHGqArmU3H45usMa6w&#10;znDhPU7XnZP2iO45gKYsay7Whh+V0KFDdUKyAEq+qq2ny/TashQ83JelF4HInIJpSCuSwN7HNVsu&#10;2PzgmK1q3j+BPecJTzgpVmskvUKtWWDk6Oq/oFTNnfGmDCNuVNYRSYqAxWT8RJtdxaxIXCC1t1fR&#10;/f+D5R9OD47URU6nlGimUPDL92+XH78uP7+SaZSnsX6OqJ1FXGjfmhZNM5x7HEbWbelU/IIPgR/i&#10;nq/iijYQHi/NprPZGC4O37ABfvZ43Tof3gmjSDRy6lC9JCo7bX3oQoeQmE2bTS1lqqDUpMnpzes3&#10;43Th6gG41MgRSXSPjVZo923PbG+KM4g503WGt3xTI/mW+fDAHFoBD8awhHsspTRIYnqLksq4L/86&#10;j/GoELyUNGitnGpMEiXyvUblABgGww3GfjD0Ud0Z9OoEQ2h5MnHBBTmYpTPqMyZoFXPAxTRHppyG&#10;wbwLXXtjArlYrVIQes2ysNU7yyN0FM/b1TFAwKRrFKVTotcK3ZYq009GbOc/9ynq8W+w/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WAAAA&#10;ZHJzL1BLAQIUABQAAAAIAIdO4kCzSVju0AAAAAUBAAAPAAAAAAAAAAEAIAAAADgAAABkcnMvZG93&#10;bnJldi54bWxQSwECFAAUAAAACACHTuJABWGMPysCAABVBAAADgAAAAAAAAABACAAAAA1AQAAZHJz&#10;L2Uyb0RvYy54bWxQSwUGAAAAAAYABgBZAQAA0gUAAAAA&#10;">
              <v:fill on="f" focussize="0,0"/>
              <v:stroke on="f" weight="0.5pt"/>
              <v:imagedata o:title=""/>
              <o:lock v:ext="edit" aspectratio="f"/>
              <v:textbox inset="0mm,0mm,0mm,0mm" style="mso-fit-shape-to-text:t;">
                <w:txbxContent>
                  <w:p>
                    <w:pPr>
                      <w:pStyle w:val="6"/>
                      <w:ind w:firstLine="280" w:firstLineChars="100"/>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fldChar w:fldCharType="begin"/>
                    </w:r>
                    <w:r>
                      <w:rPr>
                        <w:rFonts w:ascii="Times New Roman Regular" w:hAnsi="Times New Roman Regular" w:cs="Times New Roman Regular"/>
                        <w:sz w:val="28"/>
                        <w:szCs w:val="28"/>
                      </w:rPr>
                      <w:instrText xml:space="preserve"> PAGE  \* MERGEFORMAT </w:instrText>
                    </w:r>
                    <w:r>
                      <w:rPr>
                        <w:rFonts w:ascii="Times New Roman Regular" w:hAnsi="Times New Roman Regular" w:cs="Times New Roman Regular"/>
                        <w:sz w:val="28"/>
                        <w:szCs w:val="28"/>
                      </w:rPr>
                      <w:fldChar w:fldCharType="separate"/>
                    </w:r>
                    <w:r>
                      <w:rPr>
                        <w:rFonts w:ascii="Times New Roman Regular" w:hAnsi="Times New Roman Regular" w:cs="Times New Roman Regular"/>
                        <w:sz w:val="28"/>
                        <w:szCs w:val="28"/>
                      </w:rPr>
                      <w:t>2</w:t>
                    </w:r>
                    <w:r>
                      <w:rPr>
                        <w:rFonts w:ascii="Times New Roman Regular" w:hAnsi="Times New Roman Regular" w:cs="Times New Roman Regular"/>
                        <w:sz w:val="28"/>
                        <w:szCs w:val="28"/>
                      </w:rPr>
                      <w:fldChar w:fldCharType="end"/>
                    </w:r>
                    <w:r>
                      <w:rPr>
                        <w:rFonts w:ascii="Times New Roman Regular" w:hAnsi="Times New Roman Regular" w:cs="Times New Roman Regular"/>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5FE842"/>
    <w:multiLevelType w:val="singleLevel"/>
    <w:tmpl w:val="825FE842"/>
    <w:lvl w:ilvl="0" w:tentative="0">
      <w:start w:val="1"/>
      <w:numFmt w:val="chineseCounting"/>
      <w:suff w:val="nothing"/>
      <w:lvlText w:val="（%1）"/>
      <w:lvlJc w:val="left"/>
      <w:rPr>
        <w:rFonts w:hint="eastAsia"/>
      </w:rPr>
    </w:lvl>
  </w:abstractNum>
  <w:abstractNum w:abstractNumId="1">
    <w:nsid w:val="DABE22F6"/>
    <w:multiLevelType w:val="singleLevel"/>
    <w:tmpl w:val="DABE22F6"/>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mirrorMargins w:val="1"/>
  <w:bordersDoNotSurroundHeader w:val="1"/>
  <w:bordersDoNotSurroundFooter w:val="1"/>
  <w:documentProtection w:enforcement="0"/>
  <w:defaultTabStop w:val="420"/>
  <w:evenAndOddHeaders w:val="1"/>
  <w:drawingGridHorizontalSpacing w:val="158"/>
  <w:drawingGridVerticalSpacing w:val="295"/>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619B"/>
    <w:rsid w:val="000B72D4"/>
    <w:rsid w:val="001050C9"/>
    <w:rsid w:val="001A619B"/>
    <w:rsid w:val="002061EA"/>
    <w:rsid w:val="002B7C01"/>
    <w:rsid w:val="00366EEC"/>
    <w:rsid w:val="003F005C"/>
    <w:rsid w:val="004206CA"/>
    <w:rsid w:val="004315E5"/>
    <w:rsid w:val="004523F5"/>
    <w:rsid w:val="00572152"/>
    <w:rsid w:val="005A5783"/>
    <w:rsid w:val="0067776F"/>
    <w:rsid w:val="006B2FC1"/>
    <w:rsid w:val="00887242"/>
    <w:rsid w:val="008B544F"/>
    <w:rsid w:val="00905ACC"/>
    <w:rsid w:val="00A006B3"/>
    <w:rsid w:val="00A65625"/>
    <w:rsid w:val="00C03DDE"/>
    <w:rsid w:val="00D459CB"/>
    <w:rsid w:val="00D74B37"/>
    <w:rsid w:val="00E01E25"/>
    <w:rsid w:val="00E32AC3"/>
    <w:rsid w:val="00E355C4"/>
    <w:rsid w:val="00F15E73"/>
    <w:rsid w:val="03A04F32"/>
    <w:rsid w:val="0568520F"/>
    <w:rsid w:val="064B6920"/>
    <w:rsid w:val="067A4160"/>
    <w:rsid w:val="091E4702"/>
    <w:rsid w:val="09C25210"/>
    <w:rsid w:val="0AA65EEC"/>
    <w:rsid w:val="0C012C2E"/>
    <w:rsid w:val="0F2C1D25"/>
    <w:rsid w:val="106C6C9C"/>
    <w:rsid w:val="11BE0A94"/>
    <w:rsid w:val="13EA0AB8"/>
    <w:rsid w:val="17BB3CFC"/>
    <w:rsid w:val="186F3661"/>
    <w:rsid w:val="18EE2DF4"/>
    <w:rsid w:val="1BC4466E"/>
    <w:rsid w:val="1C83796D"/>
    <w:rsid w:val="1FDFF92D"/>
    <w:rsid w:val="219E0C58"/>
    <w:rsid w:val="21CE7ABF"/>
    <w:rsid w:val="2F3E56C0"/>
    <w:rsid w:val="30234671"/>
    <w:rsid w:val="32A1209C"/>
    <w:rsid w:val="33BF521A"/>
    <w:rsid w:val="34425A0E"/>
    <w:rsid w:val="388D2C93"/>
    <w:rsid w:val="394E09B1"/>
    <w:rsid w:val="3A2C6F03"/>
    <w:rsid w:val="3D8C3C51"/>
    <w:rsid w:val="41A25D3E"/>
    <w:rsid w:val="4F422C27"/>
    <w:rsid w:val="527C1C3B"/>
    <w:rsid w:val="52916776"/>
    <w:rsid w:val="54660D84"/>
    <w:rsid w:val="553C5B31"/>
    <w:rsid w:val="56711559"/>
    <w:rsid w:val="57174680"/>
    <w:rsid w:val="575D6863"/>
    <w:rsid w:val="57FA4F5C"/>
    <w:rsid w:val="58DD7FD9"/>
    <w:rsid w:val="5A026F22"/>
    <w:rsid w:val="5B4B610B"/>
    <w:rsid w:val="5D4206E6"/>
    <w:rsid w:val="5DEE4387"/>
    <w:rsid w:val="5E145FE7"/>
    <w:rsid w:val="5FF46446"/>
    <w:rsid w:val="623A32EB"/>
    <w:rsid w:val="63D86F45"/>
    <w:rsid w:val="66C32BE9"/>
    <w:rsid w:val="67793A0E"/>
    <w:rsid w:val="6E7D0C18"/>
    <w:rsid w:val="6EAF10B4"/>
    <w:rsid w:val="71DB28C4"/>
    <w:rsid w:val="757E1DE7"/>
    <w:rsid w:val="76A1598A"/>
    <w:rsid w:val="76FD7FF1"/>
    <w:rsid w:val="7B01076D"/>
    <w:rsid w:val="7D40500C"/>
    <w:rsid w:val="7EED5B43"/>
    <w:rsid w:val="7EFFB722"/>
    <w:rsid w:val="7F5A7AEF"/>
    <w:rsid w:val="7FA7CD3D"/>
    <w:rsid w:val="7FBEC868"/>
    <w:rsid w:val="7FD8EA0A"/>
    <w:rsid w:val="7FDE08A4"/>
    <w:rsid w:val="BF177279"/>
    <w:rsid w:val="DF6BD69B"/>
    <w:rsid w:val="EFF7F0F6"/>
    <w:rsid w:val="FAFA7495"/>
    <w:rsid w:val="FEFFFF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32"/>
      <w:szCs w:val="22"/>
      <w:lang w:val="en-US" w:eastAsia="zh-CN" w:bidi="ar-SA"/>
    </w:rPr>
  </w:style>
  <w:style w:type="paragraph" w:styleId="2">
    <w:name w:val="heading 1"/>
    <w:basedOn w:val="1"/>
    <w:next w:val="1"/>
    <w:qFormat/>
    <w:uiPriority w:val="9"/>
    <w:pPr>
      <w:spacing w:beforeAutospacing="1" w:afterAutospacing="1"/>
      <w:jc w:val="left"/>
      <w:outlineLvl w:val="0"/>
    </w:pPr>
    <w:rPr>
      <w:rFonts w:hint="eastAsia" w:ascii="宋体" w:hAnsi="宋体" w:cs="Times New Roman"/>
      <w:b/>
      <w:bCs/>
      <w:kern w:val="44"/>
      <w:sz w:val="48"/>
      <w:szCs w:val="4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2"/>
    <w:unhideWhenUsed/>
    <w:qFormat/>
    <w:uiPriority w:val="99"/>
    <w:pPr>
      <w:jc w:val="left"/>
    </w:pPr>
  </w:style>
  <w:style w:type="paragraph" w:styleId="4">
    <w:name w:val="Date"/>
    <w:basedOn w:val="1"/>
    <w:next w:val="1"/>
    <w:link w:val="21"/>
    <w:unhideWhenUsed/>
    <w:qFormat/>
    <w:uiPriority w:val="99"/>
    <w:pPr>
      <w:ind w:left="100" w:leftChars="2500"/>
    </w:pPr>
  </w:style>
  <w:style w:type="paragraph" w:styleId="5">
    <w:name w:val="Balloon Text"/>
    <w:basedOn w:val="1"/>
    <w:link w:val="20"/>
    <w:unhideWhenUsed/>
    <w:qFormat/>
    <w:uiPriority w:val="99"/>
    <w:rPr>
      <w:sz w:val="18"/>
      <w:szCs w:val="18"/>
    </w:rPr>
  </w:style>
  <w:style w:type="paragraph" w:styleId="6">
    <w:name w:val="footer"/>
    <w:basedOn w:val="1"/>
    <w:link w:val="19"/>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0"/>
    <w:pPr>
      <w:widowControl/>
      <w:spacing w:before="100" w:beforeAutospacing="1" w:after="100" w:afterAutospacing="1"/>
      <w:jc w:val="left"/>
    </w:pPr>
    <w:rPr>
      <w:rFonts w:ascii="宋体" w:hAnsi="宋体" w:cs="宋体"/>
      <w:kern w:val="0"/>
      <w:szCs w:val="24"/>
    </w:rPr>
  </w:style>
  <w:style w:type="paragraph" w:styleId="9">
    <w:name w:val="annotation subject"/>
    <w:basedOn w:val="3"/>
    <w:next w:val="3"/>
    <w:link w:val="23"/>
    <w:unhideWhenUsed/>
    <w:qFormat/>
    <w:uiPriority w:val="99"/>
    <w:rPr>
      <w:b/>
      <w:bCs/>
    </w:rPr>
  </w:style>
  <w:style w:type="table" w:styleId="11">
    <w:name w:val="Table Grid"/>
    <w:basedOn w:val="1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22"/>
    <w:rPr>
      <w:b/>
    </w:rPr>
  </w:style>
  <w:style w:type="character" w:styleId="14">
    <w:name w:val="Hyperlink"/>
    <w:basedOn w:val="12"/>
    <w:unhideWhenUsed/>
    <w:qFormat/>
    <w:uiPriority w:val="99"/>
    <w:rPr>
      <w:color w:val="0000FF"/>
      <w:u w:val="single"/>
    </w:rPr>
  </w:style>
  <w:style w:type="character" w:styleId="15">
    <w:name w:val="annotation reference"/>
    <w:basedOn w:val="12"/>
    <w:unhideWhenUsed/>
    <w:qFormat/>
    <w:uiPriority w:val="99"/>
    <w:rPr>
      <w:sz w:val="21"/>
      <w:szCs w:val="21"/>
    </w:rPr>
  </w:style>
  <w:style w:type="paragraph" w:customStyle="1" w:styleId="16">
    <w:name w:val="正文空2字"/>
    <w:basedOn w:val="17"/>
    <w:qFormat/>
    <w:uiPriority w:val="99"/>
    <w:pPr>
      <w:widowControl w:val="0"/>
      <w:snapToGrid w:val="0"/>
      <w:spacing w:line="560" w:lineRule="exact"/>
      <w:ind w:firstLine="640" w:firstLineChars="200"/>
    </w:pPr>
    <w:rPr>
      <w:rFonts w:ascii="仿宋_GB2312" w:hAnsi="仿宋_GB2312" w:cs="仿宋_GB2312"/>
      <w:lang w:val="zh-TW"/>
    </w:rPr>
  </w:style>
  <w:style w:type="paragraph" w:customStyle="1" w:styleId="17">
    <w:name w:val="左对齐正文"/>
    <w:qFormat/>
    <w:uiPriority w:val="99"/>
    <w:rPr>
      <w:rFonts w:ascii="Calibri" w:hAnsi="Calibri" w:eastAsia="仿宋_GB2312" w:cs="Calibri"/>
      <w:kern w:val="2"/>
      <w:sz w:val="32"/>
      <w:szCs w:val="32"/>
      <w:lang w:val="en-US" w:eastAsia="zh-CN" w:bidi="ar-SA"/>
    </w:rPr>
  </w:style>
  <w:style w:type="character" w:customStyle="1" w:styleId="18">
    <w:name w:val="页眉 字符"/>
    <w:basedOn w:val="12"/>
    <w:link w:val="7"/>
    <w:qFormat/>
    <w:uiPriority w:val="99"/>
    <w:rPr>
      <w:sz w:val="18"/>
      <w:szCs w:val="18"/>
    </w:rPr>
  </w:style>
  <w:style w:type="character" w:customStyle="1" w:styleId="19">
    <w:name w:val="页脚 字符"/>
    <w:basedOn w:val="12"/>
    <w:link w:val="6"/>
    <w:qFormat/>
    <w:uiPriority w:val="99"/>
    <w:rPr>
      <w:sz w:val="18"/>
      <w:szCs w:val="18"/>
    </w:rPr>
  </w:style>
  <w:style w:type="character" w:customStyle="1" w:styleId="20">
    <w:name w:val="批注框文本 字符"/>
    <w:basedOn w:val="12"/>
    <w:link w:val="5"/>
    <w:semiHidden/>
    <w:qFormat/>
    <w:uiPriority w:val="99"/>
    <w:rPr>
      <w:sz w:val="18"/>
      <w:szCs w:val="18"/>
    </w:rPr>
  </w:style>
  <w:style w:type="character" w:customStyle="1" w:styleId="21">
    <w:name w:val="日期 字符"/>
    <w:basedOn w:val="12"/>
    <w:link w:val="4"/>
    <w:semiHidden/>
    <w:qFormat/>
    <w:uiPriority w:val="99"/>
  </w:style>
  <w:style w:type="character" w:customStyle="1" w:styleId="22">
    <w:name w:val="批注文字 字符"/>
    <w:basedOn w:val="12"/>
    <w:link w:val="3"/>
    <w:semiHidden/>
    <w:qFormat/>
    <w:uiPriority w:val="99"/>
  </w:style>
  <w:style w:type="character" w:customStyle="1" w:styleId="23">
    <w:name w:val="批注主题 字符"/>
    <w:basedOn w:val="22"/>
    <w:link w:val="9"/>
    <w:semiHidden/>
    <w:qFormat/>
    <w:uiPriority w:val="99"/>
    <w:rPr>
      <w:b/>
      <w:bCs/>
    </w:rPr>
  </w:style>
  <w:style w:type="paragraph" w:customStyle="1" w:styleId="24">
    <w:name w:val="修订1"/>
    <w:hidden/>
    <w:unhideWhenUsed/>
    <w:qFormat/>
    <w:uiPriority w:val="99"/>
    <w:rPr>
      <w:rFonts w:ascii="Calibri" w:hAnsi="Calibri" w:eastAsia="宋体" w:cs="黑体"/>
      <w:kern w:val="2"/>
      <w:sz w:val="32"/>
      <w:szCs w:val="22"/>
      <w:lang w:val="en-US" w:eastAsia="zh-CN" w:bidi="ar-SA"/>
    </w:rPr>
  </w:style>
  <w:style w:type="paragraph" w:customStyle="1" w:styleId="25">
    <w:name w:val="Revision"/>
    <w:hidden/>
    <w:unhideWhenUsed/>
    <w:qFormat/>
    <w:uiPriority w:val="99"/>
    <w:rPr>
      <w:rFonts w:ascii="Calibri" w:hAnsi="Calibri" w:eastAsia="宋体" w:cs="黑体"/>
      <w:kern w:val="2"/>
      <w:sz w:val="3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gb</Company>
  <Pages>10</Pages>
  <Words>4265</Words>
  <Characters>4265</Characters>
  <Lines>4</Lines>
  <Paragraphs>83</Paragraphs>
  <TotalTime>4</TotalTime>
  <ScaleCrop>false</ScaleCrop>
  <LinksUpToDate>false</LinksUpToDate>
  <CharactersWithSpaces>4276</CharactersWithSpaces>
  <Application>WPS Office_12.8.2.15290_F1E327BC-269C-435d-A152-05C5408002CA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2026-05-16T02:19:00Z</dcterms:created>
  <dc:creator>USER</dc:creator>
  <cp:lastModifiedBy>hw</cp:lastModifiedBy>
  <cp:lastPrinted>2026-04-28T23:18:00Z</cp:lastPrinted>
  <dcterms:modified xsi:type="dcterms:W3CDTF">2026-06-12T15:13:30Z</dcterms:modified>
  <dc:title>关于报送高使用价值公共数据需求的通知</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5B77E7CEEC58BC6AFAE8886BEB80DBEB">
    <vt:lpwstr>otCYQxs9Dbw2bUEn/Soxv9pYAoWsCRIsU8+gIbxzzmNcJN13+qHIPyWmbF9hFzPHyi2m8DLwi54E5OVVM5pJ0yGmgAiYTaR6oYUdYZxdjep6I9xviFUFZ9aTScfBW9OGuP2zvr732tKvoLGHjaOcbK1lzmEJp6AOT14uVMyhYBW2wb+DTGWUo4gJBdhzHgeViMH9enfdEAEjIwKg5g6FQcIlQPlvGW3RaJYmewe1eEquX7M375pE4fe2Cj7Q/Nhswsl3CARIUFIoYagGYq5BgxtQ9rqYN+UZywCfSbfkwdeh0QNTovFZPlYe/YYsxAI3f05xkrzos8NzfK/ZcfQeCUT9JdtuGxI9UiJVzCpWmpHt7XEjr4l3+lH3I2HsBtnm56PY679WyTpNn3KQJeTVcOJPLtp7kGd1xGQjyrMVPrK/hqemaDgtBU7ptrCsDycwuvTMHHBr9Az7U3D3woF8A/KROElLLl3mRfvjS4cwAqo3QHW5XzlAkf9ooo84u0cn9ks/yV5YeIef/wiich1OZkL/ap1meGpE2/t1kz6VuwdlJTHAvnKi4VZohPOBEN7hRcqSixf24l+RvkJ85cWd7JZMYsWpgjkHNRpsk+dkS0U=</vt:lpwstr>
  </property>
  <property fmtid="{D5CDD505-2E9C-101B-9397-08002B2CF9AE}" pid="3" name="KSOSaveFontToCloudKey">
    <vt:lpwstr>614400273_btnclosed</vt:lpwstr>
  </property>
  <property fmtid="{D5CDD505-2E9C-101B-9397-08002B2CF9AE}" pid="4" name="KSOProductBuildVer">
    <vt:lpwstr>2052-12.8.2.15290</vt:lpwstr>
  </property>
  <property fmtid="{D5CDD505-2E9C-101B-9397-08002B2CF9AE}" pid="5" name="ICV">
    <vt:lpwstr>41F62E143C81421FB1D6CDF3494EF112</vt:lpwstr>
  </property>
  <property fmtid="{D5CDD505-2E9C-101B-9397-08002B2CF9AE}" pid="6" name="KSOTemplateDocerSaveRecord">
    <vt:lpwstr>eyJoZGlkIjoiNzUxOTVkN2ZmMjVjM2EzNTY4MWNhM2I2OGZkMjAyOTMiLCJ1c2VySWQiOiIxNzMxODU5MjY0In0=</vt:lpwstr>
  </property>
</Properties>
</file>