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widowControl/>
        <w:spacing w:line="570" w:lineRule="exact"/>
        <w:jc w:val="center"/>
        <w:rPr>
          <w:rFonts w:ascii="方正小标宋_GBK" w:hAnsi="方正小标宋_GBK" w:eastAsia="方正小标宋_GBK" w:cs="方正小标宋_GBK"/>
          <w:color w:val="000000"/>
          <w:sz w:val="36"/>
          <w:szCs w:val="36"/>
        </w:rPr>
      </w:pPr>
      <w:r>
        <w:rPr>
          <w:rFonts w:ascii="方正小标宋_GBK" w:hAnsi="方正小标宋_GBK" w:eastAsia="方正小标宋_GBK" w:cs="方正小标宋_GBK"/>
          <w:color w:val="000000"/>
          <w:sz w:val="36"/>
          <w:szCs w:val="36"/>
          <w:lang w:val="en-US" w:eastAsia="zh-CN"/>
        </w:rPr>
        <w:t>《江苏省建筑施工特种作业人员管理办法》起草说明</w:t>
      </w:r>
    </w:p>
    <w:p>
      <w:pPr>
        <w:pStyle w:val="5"/>
        <w:widowControl/>
        <w:spacing w:line="570" w:lineRule="exact"/>
        <w:ind w:firstLine="640" w:firstLineChars="200"/>
        <w:rPr>
          <w:rFonts w:hint="eastAsia" w:ascii="Times New Roman" w:hAnsi="Times New Roman" w:eastAsia="方正仿宋_GBK" w:cs="Times New Roman"/>
          <w:color w:val="000000"/>
          <w:sz w:val="32"/>
          <w:szCs w:val="32"/>
          <w:lang w:val="en-US" w:eastAsia="zh-CN"/>
        </w:rPr>
      </w:pPr>
    </w:p>
    <w:p>
      <w:pPr>
        <w:pStyle w:val="5"/>
        <w:widowControl/>
        <w:spacing w:line="570" w:lineRule="exact"/>
        <w:ind w:firstLine="640" w:firstLineChars="200"/>
        <w:rPr>
          <w:rFonts w:hint="eastAsia" w:ascii="Times New Roman" w:hAnsi="Times New Roman" w:eastAsia="方正仿宋_GBK" w:cs="Times New Roman"/>
          <w:color w:val="000000"/>
          <w:sz w:val="32"/>
          <w:szCs w:val="32"/>
          <w:lang w:val="en-US" w:eastAsia="zh-CN"/>
        </w:rPr>
      </w:pPr>
      <w:r>
        <w:rPr>
          <w:rFonts w:hint="eastAsia" w:ascii="Times New Roman" w:hAnsi="Times New Roman" w:eastAsia="方正仿宋_GBK" w:cs="Times New Roman"/>
          <w:color w:val="000000"/>
          <w:sz w:val="32"/>
          <w:szCs w:val="32"/>
          <w:lang w:val="en-US" w:eastAsia="zh-CN"/>
        </w:rPr>
        <w:t>建筑施工特种作业是房屋建筑和市政基础设施工程施工中，从事可能对本人、他人安全健康及设备设施、建筑环境安全造成重大危害的作业，是建筑安全生产的关键环节。建筑施工行业本身属于安全生产高风险领域，而建筑施工特种作业人员具有从业规模大、流动性强、作业危险性高、专业要求严的特点，其从业行为的规范程度、技能水平的高低，直接关系到建筑施工安全生产形势，关系到人民群众生命财产安全，关系到我省建筑业高质量发展大局。</w:t>
      </w:r>
    </w:p>
    <w:p>
      <w:pPr>
        <w:pStyle w:val="5"/>
        <w:widowControl/>
        <w:spacing w:line="570" w:lineRule="exact"/>
        <w:ind w:firstLine="640" w:firstLineChars="200"/>
        <w:rPr>
          <w:rFonts w:hint="eastAsia" w:ascii="Times New Roman" w:hAnsi="Times New Roman" w:eastAsia="方正仿宋_GBK" w:cs="Times New Roman"/>
          <w:color w:val="000000"/>
          <w:sz w:val="32"/>
          <w:szCs w:val="32"/>
          <w:lang w:val="en-US" w:eastAsia="zh-CN"/>
        </w:rPr>
      </w:pPr>
      <w:r>
        <w:rPr>
          <w:rFonts w:hint="eastAsia" w:ascii="Times New Roman" w:hAnsi="Times New Roman" w:eastAsia="方正仿宋_GBK" w:cs="Times New Roman"/>
          <w:color w:val="000000"/>
          <w:sz w:val="32"/>
          <w:szCs w:val="32"/>
          <w:lang w:val="en-US" w:eastAsia="zh-CN"/>
        </w:rPr>
        <w:t>当前，《中华人民共和国建筑法》等相关法律法规规章，对建筑施工特种作业人员管理作出了基础性要求。住建部新出台《建筑施工特种作业人员管理规定》（住建部令第60号），于2025年12月17日公布、2026年6月1日起施行，明确全国统一监管平台、记分管理等新要求。随着我省建筑业发展，原有管理模式已不适应新形势及新规要求，存在考核培训不规范、省市职责衔接不畅、从业监管力度不够等问题。</w:t>
      </w:r>
    </w:p>
    <w:p>
      <w:pPr>
        <w:pStyle w:val="5"/>
        <w:widowControl/>
        <w:spacing w:line="570" w:lineRule="exact"/>
        <w:ind w:firstLine="640" w:firstLineChars="200"/>
        <w:rPr>
          <w:rFonts w:hint="eastAsia" w:ascii="Times New Roman" w:hAnsi="Times New Roman" w:eastAsia="方正仿宋_GBK" w:cs="Times New Roman"/>
          <w:color w:val="000000"/>
          <w:sz w:val="32"/>
          <w:szCs w:val="32"/>
          <w:lang w:val="en-US" w:eastAsia="zh-CN"/>
        </w:rPr>
      </w:pPr>
      <w:r>
        <w:rPr>
          <w:rFonts w:hint="eastAsia" w:ascii="Times New Roman" w:hAnsi="Times New Roman" w:eastAsia="方正仿宋_GBK" w:cs="Times New Roman"/>
          <w:color w:val="000000"/>
          <w:sz w:val="32"/>
          <w:szCs w:val="32"/>
          <w:lang w:val="en-US" w:eastAsia="zh-CN"/>
        </w:rPr>
        <w:t>同时，原《江苏省建筑施工特种作业人员管理暂行办法》（苏建管质〔2009〕5号）实施多年，部分条款已与现行法律法规、住建部令第60号新规及行业实际不相适应，亟需修订。为贯彻落实国家安全生产相关要求及60号新规核心精神，衔接新规跨部门互认、记分管理等关键要求，规范我省特种作业人员管理，堵塞监管漏洞、防范安全事故，结合我省实际，制定本办法十分必要。</w:t>
      </w:r>
    </w:p>
    <w:p>
      <w:pPr>
        <w:pStyle w:val="5"/>
        <w:widowControl/>
        <w:spacing w:line="570" w:lineRule="exact"/>
        <w:ind w:firstLine="640" w:firstLineChars="200"/>
        <w:jc w:val="left"/>
        <w:rPr>
          <w:rFonts w:hint="eastAsia" w:ascii="方正小标宋_GBK" w:hAnsi="方正小标宋_GBK" w:eastAsia="方正小标宋_GBK" w:cs="方正小标宋_GBK"/>
          <w:color w:val="000000"/>
          <w:sz w:val="32"/>
          <w:szCs w:val="32"/>
          <w:lang w:val="en-US" w:eastAsia="zh-CN"/>
        </w:rPr>
      </w:pPr>
      <w:r>
        <w:rPr>
          <w:rFonts w:hint="eastAsia" w:ascii="方正小标宋_GBK" w:hAnsi="方正小标宋_GBK" w:eastAsia="方正小标宋_GBK" w:cs="方正小标宋_GBK"/>
          <w:color w:val="000000"/>
          <w:sz w:val="32"/>
          <w:szCs w:val="32"/>
          <w:lang w:val="en-US" w:eastAsia="zh-CN"/>
        </w:rPr>
        <w:t>二、主要内容</w:t>
      </w:r>
    </w:p>
    <w:p>
      <w:pPr>
        <w:pStyle w:val="5"/>
        <w:widowControl/>
        <w:spacing w:line="570" w:lineRule="exact"/>
        <w:ind w:firstLine="640" w:firstLineChars="200"/>
        <w:rPr>
          <w:rFonts w:hint="eastAsia" w:ascii="Times New Roman" w:hAnsi="Times New Roman" w:eastAsia="方正仿宋_GBK" w:cs="Times New Roman"/>
          <w:color w:val="000000"/>
          <w:sz w:val="32"/>
          <w:szCs w:val="32"/>
          <w:lang w:val="en-US" w:eastAsia="zh-CN"/>
        </w:rPr>
      </w:pPr>
      <w:r>
        <w:rPr>
          <w:rFonts w:hint="eastAsia" w:ascii="Times New Roman" w:hAnsi="Times New Roman" w:eastAsia="方正仿宋_GBK" w:cs="Times New Roman"/>
          <w:color w:val="000000"/>
          <w:sz w:val="32"/>
          <w:szCs w:val="32"/>
          <w:lang w:val="en-US" w:eastAsia="zh-CN"/>
        </w:rPr>
        <w:t>本办法共二十条，围绕省市住建部门监管职责划分、从业人员分类培训与机构管理、考核报名与资格互认、证书核发延期及变更注销、企业与监理单位履职要求、监督检查与举报投诉机制等内容，重点规范了以下方面：</w:t>
      </w:r>
    </w:p>
    <w:p>
      <w:pPr>
        <w:pStyle w:val="5"/>
        <w:widowControl/>
        <w:spacing w:line="570" w:lineRule="exact"/>
        <w:ind w:firstLine="643" w:firstLineChars="200"/>
        <w:rPr>
          <w:rFonts w:hint="eastAsia" w:ascii="Times New Roman" w:hAnsi="Times New Roman" w:eastAsia="方正仿宋_GBK" w:cs="Times New Roman"/>
          <w:color w:val="000000"/>
          <w:sz w:val="32"/>
          <w:szCs w:val="32"/>
          <w:lang w:val="en-US" w:eastAsia="zh-CN"/>
        </w:rPr>
      </w:pPr>
      <w:r>
        <w:rPr>
          <w:rFonts w:hint="eastAsia" w:ascii="Times New Roman" w:hAnsi="Times New Roman" w:eastAsia="方正仿宋_GBK" w:cs="Times New Roman"/>
          <w:b/>
          <w:bCs/>
          <w:color w:val="000000"/>
          <w:sz w:val="32"/>
          <w:szCs w:val="32"/>
          <w:lang w:val="en-US" w:eastAsia="zh-CN"/>
        </w:rPr>
        <w:t>一是明确总则要求，厘清管理职责。</w:t>
      </w:r>
      <w:r>
        <w:rPr>
          <w:rFonts w:hint="eastAsia" w:ascii="Times New Roman" w:hAnsi="Times New Roman" w:eastAsia="方正仿宋_GBK" w:cs="Times New Roman"/>
          <w:color w:val="000000"/>
          <w:sz w:val="32"/>
          <w:szCs w:val="32"/>
          <w:lang w:val="en-US" w:eastAsia="zh-CN"/>
        </w:rPr>
        <w:t>明确了办法的立法依据、适用范围，重点衔接住建部令第60号新规中关于地方住建部门监管职责的要求，界定了省、设区的市住房城乡建设主管部门的管理职责，明确省住房城乡建设厅负责全省范围内建筑施工特种作业人员职业资格认定及从业行为监督管理，委托设区的市住房城乡建设主管部门实施本行政区域内考核相关工作；同时要求设区的市住房城乡建设主管部门在委托范围内落实相关事项，严格遵循新规考务管理要求，确保考核工作平稳有序开展，构建起“省级统筹、市级实施”的分级管理体系，与新规全国统一监管导向保持一致。（第1-4条）</w:t>
      </w:r>
    </w:p>
    <w:p>
      <w:pPr>
        <w:pStyle w:val="5"/>
        <w:widowControl/>
        <w:spacing w:line="570" w:lineRule="exact"/>
        <w:ind w:firstLine="643" w:firstLineChars="200"/>
        <w:rPr>
          <w:rFonts w:hint="eastAsia" w:ascii="Times New Roman" w:hAnsi="Times New Roman" w:eastAsia="方正仿宋_GBK" w:cs="Times New Roman"/>
          <w:color w:val="000000"/>
          <w:sz w:val="32"/>
          <w:szCs w:val="32"/>
          <w:lang w:val="en-US" w:eastAsia="zh-CN"/>
        </w:rPr>
      </w:pPr>
      <w:r>
        <w:rPr>
          <w:rFonts w:hint="eastAsia" w:ascii="Times New Roman" w:hAnsi="Times New Roman" w:eastAsia="方正仿宋_GBK" w:cs="Times New Roman"/>
          <w:b/>
          <w:bCs/>
          <w:color w:val="000000"/>
          <w:sz w:val="32"/>
          <w:szCs w:val="32"/>
          <w:lang w:val="en-US" w:eastAsia="zh-CN"/>
        </w:rPr>
        <w:t>二是规范考核发证，强化培训管理</w:t>
      </w:r>
      <w:r>
        <w:rPr>
          <w:rFonts w:hint="eastAsia" w:ascii="Times New Roman" w:hAnsi="Times New Roman" w:eastAsia="方正仿宋_GBK" w:cs="Times New Roman"/>
          <w:color w:val="000000"/>
          <w:sz w:val="32"/>
          <w:szCs w:val="32"/>
          <w:lang w:val="en-US" w:eastAsia="zh-CN"/>
        </w:rPr>
        <w:t>。严格衔接住建部令第60号新规中培训考核相关规定，将建筑施工特种作业人员培训分为考前安全作业培训和资格证书有效期内安全生产教育培训，明确培训机构的报告义务、培训实施要求，要求培训机构结合行业实际制定培训计划，运用人脸识别、视频抓拍等技术手段保障培训质量，方便从业人员自主选择合规培训机构。规范报名流程，明确通过“苏服办”APP报名的具体要求，衔接新规跨部门证书互认机制，建立培训互认机制，对符合条件的人员免予安全作业培训直接参加考核。明确证书申请、审核、核发、延期、信息变更、注销的全流程要求，细化审核时限、申请材料等程序性规定，呼应新规电子证照、证书有效期管理等要求，确保考核发证工作规范有序、与国家新规无缝衔接。（第5-14条）</w:t>
      </w:r>
    </w:p>
    <w:p>
      <w:pPr>
        <w:pStyle w:val="5"/>
        <w:widowControl/>
        <w:spacing w:line="570" w:lineRule="exact"/>
        <w:ind w:firstLine="643" w:firstLineChars="200"/>
        <w:rPr>
          <w:rFonts w:hint="eastAsia" w:ascii="Times New Roman" w:hAnsi="Times New Roman" w:eastAsia="方正仿宋_GBK" w:cs="Times New Roman"/>
          <w:color w:val="000000"/>
          <w:sz w:val="32"/>
          <w:szCs w:val="32"/>
          <w:lang w:val="en-US" w:eastAsia="zh-CN"/>
        </w:rPr>
      </w:pPr>
      <w:r>
        <w:rPr>
          <w:rFonts w:hint="eastAsia" w:ascii="Times New Roman" w:hAnsi="Times New Roman" w:eastAsia="方正仿宋_GBK" w:cs="Times New Roman"/>
          <w:b/>
          <w:bCs/>
          <w:color w:val="000000"/>
          <w:sz w:val="32"/>
          <w:szCs w:val="32"/>
          <w:lang w:val="en-US" w:eastAsia="zh-CN"/>
        </w:rPr>
        <w:t>三是细化从业监管，压实各方责任</w:t>
      </w:r>
      <w:r>
        <w:rPr>
          <w:rFonts w:hint="eastAsia" w:ascii="Times New Roman" w:hAnsi="Times New Roman" w:eastAsia="方正仿宋_GBK" w:cs="Times New Roman"/>
          <w:color w:val="000000"/>
          <w:sz w:val="32"/>
          <w:szCs w:val="32"/>
          <w:lang w:val="en-US" w:eastAsia="zh-CN"/>
        </w:rPr>
        <w:t>。严格落实住建部令第60</w:t>
      </w:r>
      <w:bookmarkStart w:id="0" w:name="_GoBack"/>
      <w:bookmarkEnd w:id="0"/>
      <w:r>
        <w:rPr>
          <w:rFonts w:hint="eastAsia" w:ascii="Times New Roman" w:hAnsi="Times New Roman" w:eastAsia="方正仿宋_GBK" w:cs="Times New Roman"/>
          <w:color w:val="000000"/>
          <w:sz w:val="32"/>
          <w:szCs w:val="32"/>
          <w:lang w:val="en-US" w:eastAsia="zh-CN"/>
        </w:rPr>
        <w:t>号全链条监管要求，明确施工企业证书查验、监理单位隐患整改及报告职责，强化资格证书核验与举报制度，构建全方位从业监管体系，压实施工企业、监理单位及监管部门各方责任。（第15-19条）</w:t>
      </w:r>
    </w:p>
    <w:p>
      <w:pPr>
        <w:pStyle w:val="5"/>
        <w:widowControl/>
        <w:spacing w:line="570" w:lineRule="exact"/>
        <w:ind w:firstLine="643" w:firstLineChars="200"/>
        <w:rPr>
          <w:rFonts w:hint="eastAsia" w:ascii="Times New Roman" w:hAnsi="Times New Roman" w:eastAsia="方正仿宋_GBK" w:cs="Times New Roman"/>
          <w:color w:val="000000"/>
          <w:sz w:val="32"/>
          <w:szCs w:val="32"/>
          <w:lang w:val="en-US" w:eastAsia="zh-CN"/>
        </w:rPr>
      </w:pPr>
      <w:r>
        <w:rPr>
          <w:rFonts w:hint="eastAsia" w:ascii="Times New Roman" w:hAnsi="Times New Roman" w:eastAsia="方正仿宋_GBK" w:cs="Times New Roman"/>
          <w:b/>
          <w:bCs/>
          <w:color w:val="000000"/>
          <w:sz w:val="32"/>
          <w:szCs w:val="32"/>
          <w:lang w:val="en-US" w:eastAsia="zh-CN"/>
        </w:rPr>
        <w:t>四是明确附则规定，做好衔接过渡。</w:t>
      </w:r>
      <w:r>
        <w:rPr>
          <w:rFonts w:hint="eastAsia" w:ascii="Times New Roman" w:hAnsi="Times New Roman" w:eastAsia="方正仿宋_GBK" w:cs="Times New Roman"/>
          <w:color w:val="000000"/>
          <w:sz w:val="32"/>
          <w:szCs w:val="32"/>
          <w:lang w:val="en-US" w:eastAsia="zh-CN"/>
        </w:rPr>
        <w:t>明确办法实施日期、有效期，确保与住建部令第60号新规（2026年6月1日起施行）衔接，明确原《江苏省建筑施工特种作业人员管理暂行办法》（苏建管质〔2009〕5号）自本办法实施之日起废止，保障新旧管理办法、地方与国家新规平稳衔接，维护管理工作连续性和规范性。（第20条）</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 w:name="方正黑体_GBK">
    <w:panose1 w:val="03000509000000000000"/>
    <w:charset w:val="86"/>
    <w:family w:val="script"/>
    <w:pitch w:val="default"/>
    <w:sig w:usb0="00000001" w:usb1="080E0000" w:usb2="00000000" w:usb3="00000000" w:csb0="0004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D124B61"/>
    <w:rsid w:val="01C446F8"/>
    <w:rsid w:val="1C340653"/>
    <w:rsid w:val="294739C9"/>
    <w:rsid w:val="2DB670EB"/>
    <w:rsid w:val="31E0281A"/>
    <w:rsid w:val="3F0C51E2"/>
    <w:rsid w:val="416D1BF0"/>
    <w:rsid w:val="4230544D"/>
    <w:rsid w:val="508D5E0B"/>
    <w:rsid w:val="529667FE"/>
    <w:rsid w:val="5EC01983"/>
    <w:rsid w:val="614B5002"/>
    <w:rsid w:val="6D124B61"/>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4">
    <w:name w:val="heading 3"/>
    <w:basedOn w:val="1"/>
    <w:next w:val="1"/>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6">
    <w:name w:val="Default Paragraph Font"/>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5">
    <w:name w:val="Normal (Web)"/>
    <w:basedOn w:val="1"/>
    <w:qFormat/>
    <w:uiPriority w:val="0"/>
    <w:rPr>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1511</Words>
  <Characters>1547</Characters>
  <Lines>0</Lines>
  <Paragraphs>0</Paragraphs>
  <TotalTime>0</TotalTime>
  <ScaleCrop>false</ScaleCrop>
  <LinksUpToDate>false</LinksUpToDate>
  <CharactersWithSpaces>1549</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2026-03-17T10:20:00Z</dcterms:created>
  <dc:creator>xf</dc:creator>
  <cp:lastModifiedBy>DELL</cp:lastModifiedBy>
  <cp:lastPrinted>2026-03-18T03:28:00Z</cp:lastPrinted>
  <dcterms:modified xsi:type="dcterms:W3CDTF">2026-03-23T06:09:27Z</dcterms:modified>
  <dc:title>《江苏省建筑施工特种作业人员管理办法》起草说明</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y fmtid="{D5CDD505-2E9C-101B-9397-08002B2CF9AE}" pid="3" name="ICV">
    <vt:lpwstr>92E371FACA974A44B1B292A18F032EFA_13</vt:lpwstr>
  </property>
  <property fmtid="{D5CDD505-2E9C-101B-9397-08002B2CF9AE}" pid="4" name="KSOTemplateDocerSaveRecord">
    <vt:lpwstr>eyJoZGlkIjoiMTNjZmYwNjEzMDM1ZGY1YWEzOTZlMDA5ODZkNzZiZjMiLCJ1c2VySWQiOiI0MzAwNzUwNjAifQ==</vt:lpwstr>
  </property>
</Properties>
</file>