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6"/>
        <w:tblpPr w:leftFromText="181" w:rightFromText="181" w:horzAnchor="margin" w:tblpXSpec="center" w:tblpYSpec="top"/>
        <w:tblOverlap w:val="never"/>
        <w:tblW w:w="9450" w:type="dxa"/>
        <w:jc w:val="center"/>
        <w:tblInd w:w="0" w:type="dxa"/>
        <w:tblBorders>
          <w:top w:val="none" w:color="auto" w:sz="0" w:space="0"/>
          <w:left w:val="none" w:color="auto" w:sz="0" w:space="0"/>
          <w:bottom w:val="thinThickSmallGap" w:color="auto" w:sz="18"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9450"/>
      </w:tblGrid>
      <w:tr>
        <w:tblPrEx>
          <w:tblBorders>
            <w:top w:val="none" w:color="auto" w:sz="0" w:space="0"/>
            <w:left w:val="none" w:color="auto" w:sz="0" w:space="0"/>
            <w:bottom w:val="thinThickSmallGap" w:color="auto" w:sz="18" w:space="0"/>
            <w:right w:val="none" w:color="auto" w:sz="0" w:space="0"/>
            <w:insideH w:val="none" w:color="auto" w:sz="0" w:space="0"/>
            <w:insideV w:val="none" w:color="auto" w:sz="0" w:space="0"/>
          </w:tblBorders>
          <w:tblLayout w:type="fixed"/>
        </w:tblPrEx>
        <w:trPr>
          <w:jc w:val="center"/>
        </w:trPr>
        <w:tc>
          <w:tcPr>
            <w:tcW w:w="9450" w:type="dxa"/>
            <w:tcBorders>
              <w:bottom w:val="thinThickSmallGap" w:color="FF0000" w:sz="18" w:space="0"/>
            </w:tcBorders>
          </w:tcPr>
          <w:p>
            <w:pPr>
              <w:pStyle w:val="7"/>
              <w:spacing w:before="160" w:after="140" w:line="900" w:lineRule="exact"/>
              <w:ind w:left="0" w:right="0"/>
              <w:jc w:val="center"/>
              <w:rPr>
                <w:rFonts w:ascii="Times New Roman" w:hAnsi="Times New Roman" w:eastAsia="方正小标宋_GBK"/>
                <w:spacing w:val="0"/>
                <w:sz w:val="80"/>
                <w:szCs w:val="80"/>
              </w:rPr>
            </w:pPr>
            <w:r>
              <w:rPr>
                <w:rFonts w:hint="eastAsia" w:ascii="方正小标宋_GBK" w:eastAsia="方正小标宋_GBK"/>
                <w:spacing w:val="96"/>
                <w:w w:val="80"/>
                <w:sz w:val="80"/>
                <w:szCs w:val="80"/>
              </w:rPr>
              <w:t>江苏省住房和城乡建设</w:t>
            </w:r>
            <w:r>
              <w:rPr>
                <w:rFonts w:hint="eastAsia" w:ascii="方正小标宋_GBK" w:eastAsia="方正小标宋_GBK"/>
                <w:spacing w:val="30"/>
                <w:w w:val="80"/>
                <w:sz w:val="80"/>
                <w:szCs w:val="80"/>
              </w:rPr>
              <w:t>厅</w:t>
            </w:r>
          </w:p>
        </w:tc>
      </w:tr>
    </w:tbl>
    <w:p>
      <w:pPr>
        <w:spacing w:line="560" w:lineRule="exact"/>
        <w:ind w:firstLine="880" w:firstLineChars="200"/>
        <w:jc w:val="center"/>
        <w:rPr>
          <w:rFonts w:ascii="方正小标宋_GBK" w:hAnsi="方正小标宋_GBK" w:eastAsia="方正小标宋_GBK" w:cs="方正小标宋_GBK"/>
          <w:sz w:val="44"/>
          <w:szCs w:val="44"/>
        </w:rPr>
      </w:pPr>
    </w:p>
    <w:p>
      <w:pPr>
        <w:spacing w:line="56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关于进一步加强建筑保温材料进场</w:t>
      </w:r>
    </w:p>
    <w:p>
      <w:pPr>
        <w:spacing w:line="56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检测管理工作的通知</w:t>
      </w:r>
      <w:bookmarkStart w:id="0" w:name="_GoBack"/>
      <w:bookmarkEnd w:id="0"/>
    </w:p>
    <w:p>
      <w:pPr>
        <w:ind w:firstLine="640" w:firstLineChars="200"/>
        <w:rPr>
          <w:rFonts w:ascii="方正楷体_GBK" w:hAnsi="方正楷体_GBK" w:eastAsia="方正楷体_GBK" w:cs="方正楷体_GBK"/>
          <w:sz w:val="32"/>
          <w:szCs w:val="32"/>
        </w:rPr>
      </w:pPr>
    </w:p>
    <w:p>
      <w:pPr>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各设区市住房城乡建设局（建委），各有关单位：</w:t>
      </w:r>
    </w:p>
    <w:p>
      <w:pPr>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为深入学习贯彻习近平总书记关于安全生产重要指示批示精神，严格落实国家和省关于建筑保温材料安全隐患全链条整治工作要求，坚决防范遏制建筑保温材料引发火灾事故，现就进一步加强我省建筑保温材料进场检测管理工作的有关事项通知如下：</w:t>
      </w:r>
    </w:p>
    <w:p>
      <w:pPr>
        <w:ind w:firstLine="643" w:firstLineChars="200"/>
        <w:rPr>
          <w:rFonts w:ascii="方正楷体_GBK" w:hAnsi="方正楷体_GBK" w:eastAsia="方正楷体_GBK" w:cs="方正楷体_GBK"/>
          <w:b/>
          <w:bCs/>
          <w:sz w:val="32"/>
          <w:szCs w:val="32"/>
        </w:rPr>
      </w:pPr>
      <w:r>
        <w:rPr>
          <w:rFonts w:hint="eastAsia" w:ascii="方正楷体_GBK" w:hAnsi="方正楷体_GBK" w:eastAsia="方正楷体_GBK" w:cs="方正楷体_GBK"/>
          <w:b/>
          <w:bCs/>
          <w:sz w:val="32"/>
          <w:szCs w:val="32"/>
        </w:rPr>
        <w:t>一 、充分认识建筑保温材料进场检测工作的重要性</w:t>
      </w:r>
    </w:p>
    <w:p>
      <w:pPr>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建筑保温材料是建筑节能的关键组成部分，其质量优劣不仅影响建筑的保温隔热性能，更与建筑防火安全息息相关。劣质建筑保温材料一旦引发火灾，将迅速蔓延，严重威胁人员生命和财产安全，造成不可挽回的损失。规范建筑保温材料进场检测工作是保证工程质量和防火安全的重要环节，各级建设主管部门和相关企业要切实提高政治站位，牢固树立“人民至上、生命至上”的理念，充分认识到加强建筑保温材料进场检测工作的重要性和紧迫性，以高度的责任感和使命感，将各项监管措施落到实处，有效防范和遏制因建筑保温材料质量问题引发的安全事故。</w:t>
      </w:r>
    </w:p>
    <w:p>
      <w:pPr>
        <w:ind w:firstLine="643" w:firstLineChars="200"/>
        <w:rPr>
          <w:rFonts w:ascii="方正楷体_GBK" w:hAnsi="方正楷体_GBK" w:eastAsia="方正楷体_GBK" w:cs="方正楷体_GBK"/>
          <w:b/>
          <w:bCs/>
          <w:sz w:val="32"/>
          <w:szCs w:val="32"/>
        </w:rPr>
      </w:pPr>
      <w:r>
        <w:rPr>
          <w:rFonts w:hint="eastAsia" w:ascii="方正楷体_GBK" w:hAnsi="方正楷体_GBK" w:eastAsia="方正楷体_GBK" w:cs="方正楷体_GBK"/>
          <w:b/>
          <w:bCs/>
          <w:sz w:val="32"/>
          <w:szCs w:val="32"/>
        </w:rPr>
        <w:t>二、严格落实见证取样检测和送检要求</w:t>
      </w:r>
    </w:p>
    <w:p>
      <w:pPr>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建筑保温材料施工进场后，应对</w:t>
      </w:r>
      <w:r>
        <w:rPr>
          <w:rFonts w:hint="eastAsia" w:ascii="方正仿宋_GBK" w:hAnsi="方正仿宋_GBK" w:eastAsia="方正仿宋_GBK" w:cs="方正仿宋_GBK"/>
          <w:sz w:val="32"/>
          <w:szCs w:val="32"/>
          <w:lang w:eastAsia="zh-CN"/>
        </w:rPr>
        <w:t>进场</w:t>
      </w:r>
      <w:r>
        <w:rPr>
          <w:rFonts w:hint="eastAsia" w:ascii="方正仿宋_GBK" w:hAnsi="方正仿宋_GBK" w:eastAsia="方正仿宋_GBK" w:cs="方正仿宋_GBK"/>
          <w:sz w:val="32"/>
          <w:szCs w:val="32"/>
        </w:rPr>
        <w:t>保温材料进行</w:t>
      </w:r>
      <w:r>
        <w:rPr>
          <w:rFonts w:hint="eastAsia" w:ascii="方正仿宋_GBK" w:hAnsi="方正仿宋_GBK" w:eastAsia="方正仿宋_GBK" w:cs="方正仿宋_GBK"/>
          <w:sz w:val="32"/>
          <w:szCs w:val="32"/>
          <w:lang w:eastAsia="zh-CN"/>
        </w:rPr>
        <w:t>见证取样送检，检测项目应包括保温材料的导热系数、密度、燃烧性能等指标</w:t>
      </w:r>
      <w:r>
        <w:rPr>
          <w:rFonts w:hint="eastAsia" w:ascii="方正仿宋_GBK" w:hAnsi="方正仿宋_GBK" w:eastAsia="方正仿宋_GBK" w:cs="方正仿宋_GBK"/>
          <w:sz w:val="32"/>
          <w:szCs w:val="32"/>
        </w:rPr>
        <w:t>。保温材料施工结束，建设、监理、施工单位和检测机构共同对已完工的工程实体保温材料进行</w:t>
      </w:r>
      <w:r>
        <w:rPr>
          <w:rFonts w:hint="eastAsia" w:ascii="方正仿宋_GBK" w:hAnsi="方正仿宋_GBK" w:eastAsia="方正仿宋_GBK" w:cs="方正仿宋_GBK"/>
          <w:sz w:val="32"/>
          <w:szCs w:val="32"/>
          <w:lang w:eastAsia="zh-CN"/>
        </w:rPr>
        <w:t>抽检，取样方法可采用</w:t>
      </w:r>
      <w:r>
        <w:rPr>
          <w:rFonts w:hint="eastAsia" w:ascii="方正仿宋_GBK" w:hAnsi="方正仿宋_GBK" w:eastAsia="方正仿宋_GBK" w:cs="方正仿宋_GBK"/>
          <w:sz w:val="32"/>
          <w:szCs w:val="32"/>
        </w:rPr>
        <w:t>现场剥离取样，每个单位工程随机取样不少于两组样品，使用多种类型保温材料的，原则上每种类型随机取样不少于一组样品，检测保温材料的燃烧性能指标。经检测达不到要求的建筑保温材料一律不得使用</w:t>
      </w:r>
      <w:r>
        <w:rPr>
          <w:rFonts w:hint="eastAsia" w:ascii="方正仿宋_GBK" w:hAnsi="方正仿宋_GBK" w:eastAsia="方正仿宋_GBK" w:cs="方正仿宋_GBK"/>
          <w:sz w:val="32"/>
          <w:szCs w:val="32"/>
          <w:lang w:eastAsia="zh-CN"/>
        </w:rPr>
        <w:t>或进行拆除</w:t>
      </w:r>
      <w:r>
        <w:rPr>
          <w:rFonts w:hint="eastAsia" w:ascii="方正仿宋_GBK" w:hAnsi="方正仿宋_GBK" w:eastAsia="方正仿宋_GBK" w:cs="方正仿宋_GBK"/>
          <w:sz w:val="32"/>
          <w:szCs w:val="32"/>
        </w:rPr>
        <w:t>。建设单位应将施工过程中</w:t>
      </w:r>
      <w:r>
        <w:rPr>
          <w:rFonts w:hint="eastAsia" w:ascii="方正仿宋_GBK" w:hAnsi="方正仿宋_GBK" w:eastAsia="方正仿宋_GBK" w:cs="方正仿宋_GBK"/>
          <w:sz w:val="32"/>
          <w:szCs w:val="32"/>
          <w:lang w:eastAsia="zh-CN"/>
        </w:rPr>
        <w:t>见证</w:t>
      </w:r>
      <w:r>
        <w:rPr>
          <w:rFonts w:hint="eastAsia" w:ascii="方正仿宋_GBK" w:hAnsi="方正仿宋_GBK" w:eastAsia="方正仿宋_GBK" w:cs="方正仿宋_GBK"/>
          <w:sz w:val="32"/>
          <w:szCs w:val="32"/>
        </w:rPr>
        <w:t>取样检测</w:t>
      </w:r>
      <w:r>
        <w:rPr>
          <w:rFonts w:hint="eastAsia" w:ascii="方正仿宋_GBK" w:hAnsi="方正仿宋_GBK" w:eastAsia="方正仿宋_GBK" w:cs="方正仿宋_GBK"/>
          <w:sz w:val="32"/>
          <w:szCs w:val="32"/>
          <w:lang w:eastAsia="zh-CN"/>
        </w:rPr>
        <w:t>和</w:t>
      </w:r>
      <w:r>
        <w:rPr>
          <w:rFonts w:hint="eastAsia" w:ascii="方正仿宋_GBK" w:hAnsi="方正仿宋_GBK" w:eastAsia="方正仿宋_GBK" w:cs="方正仿宋_GBK"/>
          <w:sz w:val="32"/>
          <w:szCs w:val="32"/>
        </w:rPr>
        <w:t>实体检测的费用列入工程概预算中。</w:t>
      </w:r>
    </w:p>
    <w:p>
      <w:pPr>
        <w:ind w:firstLine="640" w:firstLineChars="200"/>
        <w:rPr>
          <w:rFonts w:ascii="方正仿宋_GBK" w:hAnsi="方正仿宋_GBK" w:eastAsia="方正仿宋_GBK" w:cs="方正仿宋_GBK"/>
          <w:sz w:val="32"/>
          <w:szCs w:val="32"/>
          <w:u w:val="single"/>
        </w:rPr>
      </w:pPr>
      <w:r>
        <w:rPr>
          <w:rFonts w:hint="eastAsia" w:ascii="方正仿宋_GBK" w:hAnsi="方正仿宋_GBK" w:eastAsia="方正仿宋_GBK" w:cs="方正仿宋_GBK"/>
          <w:sz w:val="32"/>
          <w:szCs w:val="32"/>
        </w:rPr>
        <w:t>施工人员在建设单位和监理单位见证人员的监督下现场取样，取样应保证随机性和代表性，样品应具备清晰的、不易脱落的唯一性标识、封志。见证人员在取样地点设置标识牌并举牌拍照作为工程资料存档。标识牌上标明工程名称、代表部位、取样和见证人员、相应人员姓名、拍照日期等，照片信息包含标识牌试样和所有参与人员。见证人员应制作见证记录，记录抽样、取样、制样、标识、封志、送检以及现场检测等情况，并签字确认。见证人员应对见证过程拍摄影像记录保存，保证取样过程真实、可追溯。取样人员、见证人员要确保样品从取样到送样全过程可控。建设单位和监理单位人员负责送样的见证工作，送样过程中，不得发生样品损伤、变形、超时等影响正常检测的情况。对于重点工程项目，推动检测机构到施工现场取样。</w:t>
      </w:r>
    </w:p>
    <w:p>
      <w:pPr>
        <w:ind w:firstLine="643" w:firstLineChars="200"/>
        <w:rPr>
          <w:rFonts w:ascii="方正楷体_GBK" w:hAnsi="方正楷体_GBK" w:eastAsia="方正楷体_GBK" w:cs="方正楷体_GBK"/>
          <w:b/>
          <w:bCs/>
          <w:sz w:val="32"/>
          <w:szCs w:val="32"/>
        </w:rPr>
      </w:pPr>
      <w:r>
        <w:rPr>
          <w:rFonts w:hint="eastAsia" w:ascii="方正楷体_GBK" w:hAnsi="方正楷体_GBK" w:eastAsia="方正楷体_GBK" w:cs="方正楷体_GBK"/>
          <w:b/>
          <w:bCs/>
          <w:sz w:val="32"/>
          <w:szCs w:val="32"/>
        </w:rPr>
        <w:t>三、切实规范检测机构检测行为</w:t>
      </w:r>
    </w:p>
    <w:p>
      <w:pPr>
        <w:ind w:firstLine="64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建设单位应委托具有相应资质的检测单位按照规定对建筑</w:t>
      </w:r>
      <w:r>
        <w:rPr>
          <w:rFonts w:hint="eastAsia" w:ascii="方正仿宋_GBK" w:hAnsi="方正仿宋_GBK" w:eastAsia="方正仿宋_GBK" w:cs="方正仿宋_GBK"/>
          <w:sz w:val="32"/>
          <w:szCs w:val="32"/>
          <w:lang w:eastAsia="zh-CN"/>
        </w:rPr>
        <w:t>保温</w:t>
      </w:r>
      <w:r>
        <w:rPr>
          <w:rFonts w:hint="eastAsia" w:ascii="方正仿宋_GBK" w:hAnsi="方正仿宋_GBK" w:eastAsia="方正仿宋_GBK" w:cs="方正仿宋_GBK"/>
          <w:sz w:val="32"/>
          <w:szCs w:val="32"/>
        </w:rPr>
        <w:t>材料进行检测。检测机构接收检测试样时，确认取样、见证人员同时到场，核实身份无误后，方可办理接样手续。检测机构应对试样状况、标识、封志等符合性进行检查，确认无误后方可接样检测。检测机构应在其资质范围内严格按照相关技术标准进行检测，应当建立检测过程数据和结果数据、检测影像资料及检测报告记录与留存制度，对检测数据和检测报告的真实性、准确性负责。</w:t>
      </w:r>
    </w:p>
    <w:p>
      <w:pPr>
        <w:ind w:firstLine="640"/>
        <w:rPr>
          <w:rFonts w:ascii="方正仿宋_GBK" w:hAnsi="方正仿宋_GBK" w:eastAsia="方正仿宋_GBK" w:cs="方正仿宋_GBK"/>
          <w:sz w:val="32"/>
          <w:szCs w:val="32"/>
        </w:rPr>
      </w:pPr>
      <w:r>
        <w:rPr>
          <w:rFonts w:hint="eastAsia" w:ascii="方正楷体_GBK" w:hAnsi="方正楷体_GBK" w:eastAsia="方正楷体_GBK" w:cs="方正楷体_GBK"/>
          <w:b/>
          <w:bCs/>
          <w:sz w:val="32"/>
          <w:szCs w:val="32"/>
        </w:rPr>
        <w:t>四、持续加大建筑保温材料检测监管力度</w:t>
      </w:r>
    </w:p>
    <w:p>
      <w:pPr>
        <w:ind w:firstLine="64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各级建设主管部门要加大建筑保温材料检测监督检查力度，重点检查见证取样送检的规范性，检测原始记录和报告的真实性、准确性，要加大保温材料工程实体抽检抽测力度。对施工、监理（建设）单位虚假见证取样送检，检测机构出具虚假报告、不实结论，冒用其他检验检测机构名义出具报告等严重违法违规行为，要依法依规严肃查处并曝光。</w:t>
      </w:r>
    </w:p>
    <w:p>
      <w:pPr>
        <w:ind w:firstLine="640"/>
        <w:rPr>
          <w:rFonts w:ascii="方正仿宋_GBK" w:hAnsi="方正仿宋_GBK" w:eastAsia="方正仿宋_GBK" w:cs="方正仿宋_GBK"/>
          <w:sz w:val="32"/>
          <w:szCs w:val="32"/>
        </w:rPr>
      </w:pPr>
    </w:p>
    <w:p>
      <w:pPr>
        <w:ind w:firstLine="64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                       江苏省住房和城乡建设厅</w:t>
      </w:r>
    </w:p>
    <w:p>
      <w:pPr>
        <w:ind w:firstLine="64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                            2025年</w:t>
      </w:r>
      <w:r>
        <w:rPr>
          <w:rFonts w:hint="eastAsia" w:ascii="方正仿宋_GBK" w:hAnsi="方正仿宋_GBK" w:eastAsia="方正仿宋_GBK" w:cs="方正仿宋_GBK"/>
          <w:sz w:val="32"/>
          <w:szCs w:val="32"/>
          <w:lang w:val="en-US" w:eastAsia="zh-CN"/>
        </w:rPr>
        <w:t>7</w:t>
      </w:r>
      <w:r>
        <w:rPr>
          <w:rFonts w:hint="eastAsia" w:ascii="方正仿宋_GBK" w:hAnsi="方正仿宋_GBK" w:eastAsia="方正仿宋_GBK" w:cs="方正仿宋_GBK"/>
          <w:sz w:val="32"/>
          <w:szCs w:val="32"/>
        </w:rPr>
        <w:t>月 日</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方正仿宋_GBK">
    <w:panose1 w:val="03000509000000000000"/>
    <w:charset w:val="86"/>
    <w:family w:val="script"/>
    <w:pitch w:val="default"/>
    <w:sig w:usb0="00000001" w:usb1="080E0000" w:usb2="00000000" w:usb3="00000000" w:csb0="00040000" w:csb1="00000000"/>
    <w:embedRegular r:id="rId1" w:fontKey="{6AA33687-B7F4-4347-81CC-7BA76F8DC29A}"/>
  </w:font>
  <w:font w:name="方正小标宋_GBK">
    <w:panose1 w:val="03000509000000000000"/>
    <w:charset w:val="86"/>
    <w:family w:val="script"/>
    <w:pitch w:val="default"/>
    <w:sig w:usb0="00000001" w:usb1="080E0000" w:usb2="00000000" w:usb3="00000000" w:csb0="00040000" w:csb1="00000000"/>
    <w:embedRegular r:id="rId2" w:fontKey="{B5A71ADD-F78C-43F2-A7E1-D118784A6F37}"/>
  </w:font>
  <w:font w:name="方正楷体_GBK">
    <w:panose1 w:val="03000509000000000000"/>
    <w:charset w:val="86"/>
    <w:family w:val="script"/>
    <w:pitch w:val="default"/>
    <w:sig w:usb0="00000001" w:usb1="080E0000" w:usb2="00000000" w:usb3="00000000" w:csb0="00040000" w:csb1="00000000"/>
    <w:embedRegular r:id="rId3" w:fontKey="{5EE42E52-5A90-4169-AB7A-19F5205B77D8}"/>
  </w:font>
  <w:font w:name="Arial">
    <w:panose1 w:val="020B0604020202020204"/>
    <w:charset w:val="00"/>
    <w:family w:val="swiss"/>
    <w:pitch w:val="default"/>
    <w:sig w:usb0="E0002AFF" w:usb1="C0007843" w:usb2="00000009" w:usb3="00000000" w:csb0="400001FF" w:csb1="FFFF0000"/>
  </w:font>
  <w:font w:name="方正黑体_GBK">
    <w:panose1 w:val="03000509000000000000"/>
    <w:charset w:val="86"/>
    <w:family w:val="script"/>
    <w:pitch w:val="default"/>
    <w:sig w:usb0="00000001" w:usb1="080E0000" w:usb2="00000000" w:usb3="00000000" w:csb0="00040000" w:csb1="00000000"/>
  </w:font>
  <w:font w:name="Calibri">
    <w:panose1 w:val="020F0502020204030204"/>
    <w:charset w:val="00"/>
    <w:family w:val="swiss"/>
    <w:pitch w:val="default"/>
    <w:sig w:usb0="E00002FF" w:usb1="4000ACFF" w:usb2="00000001" w:usb3="00000000" w:csb0="2000019F" w:csb1="00000000"/>
    <w:embedRegular r:id="rId4" w:fontKey="{FEA3F19C-DC1C-4C2D-BD4E-EC09EC063740}"/>
  </w:font>
  <w:font w:name="仿宋">
    <w:panose1 w:val="02010609060101010101"/>
    <w:charset w:val="86"/>
    <w:family w:val="modern"/>
    <w:pitch w:val="default"/>
    <w:sig w:usb0="800002BF" w:usb1="38CF7CFA" w:usb2="00000016" w:usb3="00000000" w:csb0="00040001" w:csb1="00000000"/>
  </w:font>
  <w:font w:name="汉鼎简大宋">
    <w:altName w:val="微软雅黑"/>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3</w:t>
                          </w:r>
                          <w:r>
                            <w:rPr>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zSVju0AAAAAUBAAAPAAAAAAAAAAEAIAAAACIAAABk&#10;cnMvZG93bnJldi54bWxQSwECFAAUAAAACACHTuJA+k7mmg4CAAAHBAAADgAAAAAAAAABACAAAAAf&#10;AQAAZHJzL2Uyb0RvYy54bWxQSwUGAAAAAAYABgBZAQAAnwUAAAAA&#10;">
              <v:fill on="f" focussize="0,0"/>
              <v:stroke on="f" weight="0.5pt"/>
              <v:imagedata o:title=""/>
              <o:lock v:ext="edit" aspectratio="f"/>
              <v:textbox inset="0mm,0mm,0mm,0mm" style="mso-fit-shape-to-text:t;">
                <w:txbxContent>
                  <w:p>
                    <w:pPr>
                      <w:pStyle w:val="3"/>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3</w:t>
                    </w:r>
                    <w:r>
                      <w:rPr>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7427"/>
    <w:rsid w:val="00591330"/>
    <w:rsid w:val="006B4DCF"/>
    <w:rsid w:val="00B6534E"/>
    <w:rsid w:val="00C77427"/>
    <w:rsid w:val="04F850BA"/>
    <w:rsid w:val="07BD3544"/>
    <w:rsid w:val="0A565986"/>
    <w:rsid w:val="0B4731A3"/>
    <w:rsid w:val="0BC3636F"/>
    <w:rsid w:val="0C02287A"/>
    <w:rsid w:val="0D5D3113"/>
    <w:rsid w:val="107C44DA"/>
    <w:rsid w:val="11A002EC"/>
    <w:rsid w:val="12E01264"/>
    <w:rsid w:val="15915259"/>
    <w:rsid w:val="15F67966"/>
    <w:rsid w:val="162D6BFD"/>
    <w:rsid w:val="16856575"/>
    <w:rsid w:val="18645239"/>
    <w:rsid w:val="199E578E"/>
    <w:rsid w:val="1AAC7417"/>
    <w:rsid w:val="20B322F1"/>
    <w:rsid w:val="240030C6"/>
    <w:rsid w:val="27E50DCA"/>
    <w:rsid w:val="339B3783"/>
    <w:rsid w:val="38DC5D5A"/>
    <w:rsid w:val="3B684A83"/>
    <w:rsid w:val="3B720E13"/>
    <w:rsid w:val="3C7E1E97"/>
    <w:rsid w:val="3CAB7B04"/>
    <w:rsid w:val="3DA131A5"/>
    <w:rsid w:val="3DC420A2"/>
    <w:rsid w:val="3DEA1C65"/>
    <w:rsid w:val="3E135598"/>
    <w:rsid w:val="4123686C"/>
    <w:rsid w:val="446D5AB3"/>
    <w:rsid w:val="45034416"/>
    <w:rsid w:val="453F6090"/>
    <w:rsid w:val="45AB7149"/>
    <w:rsid w:val="46A3166E"/>
    <w:rsid w:val="47DA6796"/>
    <w:rsid w:val="48283949"/>
    <w:rsid w:val="4A6A7CF1"/>
    <w:rsid w:val="4AB9012E"/>
    <w:rsid w:val="4C664A17"/>
    <w:rsid w:val="4CE63D0E"/>
    <w:rsid w:val="528A1431"/>
    <w:rsid w:val="5B4B44B3"/>
    <w:rsid w:val="5BBE2D85"/>
    <w:rsid w:val="5BFC2774"/>
    <w:rsid w:val="5FE656F6"/>
    <w:rsid w:val="620A110C"/>
    <w:rsid w:val="6CF3115E"/>
    <w:rsid w:val="6E264EFC"/>
    <w:rsid w:val="726522EC"/>
    <w:rsid w:val="72D55DFF"/>
    <w:rsid w:val="73EE6DD5"/>
    <w:rsid w:val="770004EB"/>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0"/>
      <w:szCs w:val="30"/>
      <w:lang w:eastAsia="en-US"/>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7">
    <w:name w:val="文头"/>
    <w:basedOn w:val="8"/>
    <w:qFormat/>
    <w:uiPriority w:val="0"/>
    <w:pPr>
      <w:spacing w:before="320" w:after="0"/>
      <w:ind w:left="227" w:right="227"/>
      <w:jc w:val="distribute"/>
    </w:pPr>
    <w:rPr>
      <w:rFonts w:ascii="汉鼎简大宋" w:hAnsi="汉鼎简大宋" w:eastAsia="汉鼎简大宋"/>
      <w:color w:val="FF0000"/>
      <w:spacing w:val="36"/>
      <w:w w:val="82"/>
      <w:sz w:val="90"/>
    </w:rPr>
  </w:style>
  <w:style w:type="paragraph" w:customStyle="1" w:styleId="8">
    <w:name w:val="红线"/>
    <w:basedOn w:val="1"/>
    <w:qFormat/>
    <w:uiPriority w:val="0"/>
    <w:pPr>
      <w:autoSpaceDE w:val="0"/>
      <w:autoSpaceDN w:val="0"/>
      <w:adjustRightInd w:val="0"/>
      <w:spacing w:after="170" w:line="227" w:lineRule="atLeast"/>
      <w:jc w:val="center"/>
    </w:pPr>
    <w:rPr>
      <w:kern w:val="0"/>
      <w:sz w:val="1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1418</Words>
  <Characters>1421</Characters>
  <Lines>10</Lines>
  <Paragraphs>2</Paragraphs>
  <TotalTime>0</TotalTime>
  <ScaleCrop>false</ScaleCrop>
  <LinksUpToDate>false</LinksUpToDate>
  <CharactersWithSpaces>1474</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2025-06-24T15:28:00Z</dcterms:created>
  <dc:creator>lml</dc:creator>
  <cp:lastModifiedBy>DELL</cp:lastModifiedBy>
  <dcterms:modified xsi:type="dcterms:W3CDTF">2025-07-30T09:39:28Z</dcterms:modified>
  <dc:title>江苏省住房和城乡建设厅</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y fmtid="{D5CDD505-2E9C-101B-9397-08002B2CF9AE}" pid="3" name="KSOTemplateDocerSaveRecord">
    <vt:lpwstr>eyJoZGlkIjoiNTU5MDhjMGZlNzhmMjkzMjZjODMwN2QxOThiODllNzIiLCJ1c2VySWQiOiIzNjgyOTA1MDcifQ==</vt:lpwstr>
  </property>
  <property fmtid="{D5CDD505-2E9C-101B-9397-08002B2CF9AE}" pid="4" name="ICV">
    <vt:lpwstr>87122B614AE14D8D8D1488583B07C225_13</vt:lpwstr>
  </property>
</Properties>
</file>