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700" w:lineRule="exact"/>
        <w:jc w:val="left"/>
        <w:outlineLvl w:val="0"/>
        <w:rPr>
          <w:rFonts w:ascii="Times New Roman" w:hAnsi="Times New Roman" w:eastAsia="方正黑体_GBK"/>
          <w:sz w:val="32"/>
          <w:szCs w:val="32"/>
        </w:rPr>
      </w:pPr>
      <w:r>
        <w:rPr>
          <w:rFonts w:ascii="Times New Roman" w:hAnsi="Times New Roman" w:eastAsia="方正黑体_GBK"/>
          <w:sz w:val="32"/>
          <w:szCs w:val="32"/>
        </w:rPr>
        <w:t>附件2.</w:t>
      </w:r>
    </w:p>
    <w:p>
      <w:pPr>
        <w:adjustRightInd w:val="0"/>
        <w:snapToGrid w:val="0"/>
        <w:spacing w:line="700" w:lineRule="exact"/>
        <w:jc w:val="left"/>
        <w:outlineLvl w:val="0"/>
        <w:rPr>
          <w:rFonts w:ascii="Times New Roman" w:hAnsi="Times New Roman" w:eastAsia="方正黑体_GBK"/>
          <w:sz w:val="32"/>
          <w:szCs w:val="32"/>
        </w:rPr>
      </w:pPr>
    </w:p>
    <w:p>
      <w:pPr>
        <w:adjustRightInd w:val="0"/>
        <w:snapToGrid w:val="0"/>
        <w:spacing w:line="700" w:lineRule="exact"/>
        <w:jc w:val="center"/>
        <w:outlineLvl w:val="0"/>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关于《江苏省公路水运工程安全生产费用管理办法（修订草案）》的起草说明</w:t>
      </w:r>
    </w:p>
    <w:p>
      <w:pPr>
        <w:spacing w:line="590" w:lineRule="exact"/>
        <w:ind w:firstLine="640" w:firstLineChars="200"/>
        <w:rPr>
          <w:rFonts w:eastAsia="方正仿宋_GBK"/>
          <w:sz w:val="32"/>
          <w:szCs w:val="32"/>
        </w:rPr>
      </w:pPr>
    </w:p>
    <w:p>
      <w:pPr>
        <w:snapToGrid w:val="0"/>
        <w:spacing w:line="590" w:lineRule="exact"/>
        <w:ind w:firstLine="640" w:firstLineChars="200"/>
        <w:rPr>
          <w:rFonts w:ascii="Times New Roman" w:hAnsi="Times New Roman" w:eastAsia="方正仿宋_GBK"/>
          <w:sz w:val="32"/>
          <w:szCs w:val="32"/>
        </w:rPr>
      </w:pPr>
      <w:r>
        <w:rPr>
          <w:rFonts w:eastAsia="方正仿宋_GBK"/>
          <w:sz w:val="32"/>
          <w:szCs w:val="32"/>
        </w:rPr>
        <w:t>为了</w:t>
      </w:r>
      <w:r>
        <w:rPr>
          <w:rFonts w:hint="eastAsia" w:eastAsia="方正仿宋_GBK"/>
          <w:sz w:val="32"/>
          <w:szCs w:val="32"/>
        </w:rPr>
        <w:t>适应国家和省安全生产管理最新形势，进一步完善</w:t>
      </w:r>
      <w:r>
        <w:rPr>
          <w:rFonts w:eastAsia="方正仿宋_GBK"/>
          <w:sz w:val="32"/>
          <w:szCs w:val="32"/>
        </w:rPr>
        <w:t>公路水运</w:t>
      </w:r>
      <w:r>
        <w:rPr>
          <w:rFonts w:hint="eastAsia" w:eastAsia="方正仿宋_GBK"/>
          <w:sz w:val="32"/>
          <w:szCs w:val="32"/>
        </w:rPr>
        <w:t>工程安全生产费用管理</w:t>
      </w:r>
      <w:r>
        <w:rPr>
          <w:rFonts w:eastAsia="方正仿宋_GBK"/>
          <w:sz w:val="32"/>
          <w:szCs w:val="32"/>
        </w:rPr>
        <w:t>，</w:t>
      </w:r>
      <w:r>
        <w:rPr>
          <w:rFonts w:hint="eastAsia" w:eastAsia="方正仿宋_GBK"/>
          <w:sz w:val="32"/>
          <w:szCs w:val="32"/>
        </w:rPr>
        <w:t>保障工程施工安全</w:t>
      </w:r>
      <w:r>
        <w:rPr>
          <w:rFonts w:eastAsia="方正仿宋_GBK"/>
          <w:sz w:val="32"/>
          <w:szCs w:val="32"/>
        </w:rPr>
        <w:t>，根据相关法律、法规</w:t>
      </w:r>
      <w:r>
        <w:rPr>
          <w:rFonts w:hint="eastAsia" w:eastAsia="方正仿宋_GBK"/>
          <w:sz w:val="32"/>
          <w:szCs w:val="32"/>
        </w:rPr>
        <w:t>、</w:t>
      </w:r>
      <w:r>
        <w:rPr>
          <w:rFonts w:eastAsia="方正仿宋_GBK"/>
          <w:sz w:val="32"/>
          <w:szCs w:val="32"/>
        </w:rPr>
        <w:t>规章</w:t>
      </w:r>
      <w:r>
        <w:rPr>
          <w:rFonts w:hint="eastAsia" w:eastAsia="方正仿宋_GBK"/>
          <w:sz w:val="32"/>
          <w:szCs w:val="32"/>
        </w:rPr>
        <w:t>和国家有关文件</w:t>
      </w:r>
      <w:r>
        <w:rPr>
          <w:rFonts w:eastAsia="方正仿宋_GBK"/>
          <w:sz w:val="32"/>
          <w:szCs w:val="32"/>
        </w:rPr>
        <w:t>规</w:t>
      </w:r>
      <w:r>
        <w:rPr>
          <w:rFonts w:hint="eastAsia" w:ascii="Times New Roman" w:hAnsi="Times New Roman" w:eastAsia="方正仿宋_GBK"/>
          <w:sz w:val="32"/>
          <w:szCs w:val="32"/>
        </w:rPr>
        <w:t>定，厅建管处对2012年印发、2022年《江苏省交通运输厅关于废止和修改部分行政规范性文件的决定》局部修改的《江苏省公路水运工程安全生产费用管理办法》（苏交规〔2012〕9号）（以下称原《办法</w:t>
      </w:r>
      <w:r>
        <w:rPr>
          <w:rFonts w:eastAsia="方正仿宋_GBK"/>
          <w:sz w:val="32"/>
          <w:szCs w:val="32"/>
        </w:rPr>
        <w:t>》）进行了修订，形成了</w:t>
      </w:r>
      <w:r>
        <w:rPr>
          <w:rFonts w:hint="eastAsia" w:eastAsia="方正仿宋_GBK"/>
          <w:sz w:val="32"/>
          <w:szCs w:val="32"/>
        </w:rPr>
        <w:t>《江苏省公路水运工程安全生产费用管理办法（修订草案）》</w:t>
      </w:r>
      <w:r>
        <w:rPr>
          <w:rFonts w:hint="eastAsia" w:ascii="Times New Roman" w:hAnsi="Times New Roman" w:eastAsia="方正仿宋_GBK"/>
          <w:sz w:val="32"/>
          <w:szCs w:val="32"/>
        </w:rPr>
        <w:t>（以下称《办法</w:t>
      </w:r>
      <w:r>
        <w:rPr>
          <w:rFonts w:eastAsia="方正仿宋_GBK"/>
          <w:sz w:val="32"/>
          <w:szCs w:val="32"/>
        </w:rPr>
        <w:t>》），</w:t>
      </w:r>
      <w:r>
        <w:rPr>
          <w:rFonts w:eastAsia="方正仿宋_GBK"/>
          <w:bCs/>
          <w:color w:val="000000"/>
          <w:sz w:val="32"/>
          <w:szCs w:val="32"/>
        </w:rPr>
        <w:t>现将有关</w:t>
      </w:r>
      <w:r>
        <w:rPr>
          <w:rFonts w:hint="eastAsia" w:eastAsia="方正仿宋_GBK"/>
          <w:bCs/>
          <w:color w:val="000000"/>
          <w:sz w:val="32"/>
          <w:szCs w:val="32"/>
        </w:rPr>
        <w:t>修订</w:t>
      </w:r>
      <w:r>
        <w:rPr>
          <w:rFonts w:eastAsia="方正仿宋_GBK"/>
          <w:bCs/>
          <w:color w:val="000000"/>
          <w:sz w:val="32"/>
          <w:szCs w:val="32"/>
        </w:rPr>
        <w:t>情况说明如下：</w:t>
      </w:r>
    </w:p>
    <w:p>
      <w:pPr>
        <w:pStyle w:val="2"/>
        <w:numPr>
          <w:ilvl w:val="0"/>
          <w:numId w:val="1"/>
        </w:numPr>
        <w:snapToGrid w:val="0"/>
        <w:spacing w:before="0" w:beforeAutospacing="0" w:after="0" w:afterAutospacing="0" w:line="590" w:lineRule="exact"/>
        <w:ind w:firstLine="640" w:firstLineChars="200"/>
        <w:rPr>
          <w:rFonts w:hint="default" w:ascii="方正黑体_GBK" w:hAnsi="方正黑体_GBK" w:eastAsia="方正黑体_GBK" w:cs="方正黑体_GBK"/>
          <w:b w:val="0"/>
          <w:sz w:val="32"/>
          <w:szCs w:val="32"/>
        </w:rPr>
      </w:pPr>
      <w:bookmarkStart w:id="0" w:name="_Toc14346"/>
      <w:r>
        <w:rPr>
          <w:rFonts w:ascii="方正黑体_GBK" w:hAnsi="方正黑体_GBK" w:eastAsia="方正黑体_GBK" w:cs="方正黑体_GBK"/>
          <w:b w:val="0"/>
          <w:sz w:val="32"/>
          <w:szCs w:val="32"/>
        </w:rPr>
        <w:t>修订</w:t>
      </w:r>
      <w:bookmarkEnd w:id="0"/>
      <w:r>
        <w:rPr>
          <w:rFonts w:ascii="方正黑体_GBK" w:hAnsi="方正黑体_GBK" w:eastAsia="方正黑体_GBK" w:cs="方正黑体_GBK"/>
          <w:b w:val="0"/>
          <w:sz w:val="32"/>
          <w:szCs w:val="32"/>
        </w:rPr>
        <w:t>的必要性</w:t>
      </w:r>
    </w:p>
    <w:p>
      <w:pPr>
        <w:snapToGrid w:val="0"/>
        <w:spacing w:line="590" w:lineRule="exact"/>
        <w:ind w:firstLine="643" w:firstLineChars="200"/>
        <w:rPr>
          <w:rFonts w:ascii="Times New Roman" w:hAnsi="Times New Roman" w:eastAsia="方正仿宋_GBK"/>
          <w:sz w:val="32"/>
          <w:szCs w:val="32"/>
        </w:rPr>
      </w:pPr>
      <w:bookmarkStart w:id="1" w:name="_Toc17683"/>
      <w:bookmarkStart w:id="2" w:name="_Toc2849"/>
      <w:r>
        <w:rPr>
          <w:rFonts w:hint="eastAsia" w:ascii="Times New Roman" w:hAnsi="Times New Roman" w:eastAsia="方正仿宋_GBK"/>
          <w:b/>
          <w:bCs/>
          <w:sz w:val="32"/>
          <w:szCs w:val="32"/>
        </w:rPr>
        <w:t>一是适应国家和省安全生产最新政策的需要。</w:t>
      </w:r>
      <w:r>
        <w:rPr>
          <w:rFonts w:hint="eastAsia" w:ascii="Times New Roman" w:hAnsi="Times New Roman" w:eastAsia="方正仿宋_GBK"/>
          <w:sz w:val="32"/>
          <w:szCs w:val="32"/>
        </w:rPr>
        <w:t>原《办法》发布已十余年，期间原《办法》制定依据已发生变化，如《中华人民共和国安全生产法》于2014年和2021年两次修正，2012年财政部和安全监管总局印发的《企业安全生产费用提取和使用管理办法》于2022年由财政部和应急部修订，同时国家和省对于安全生产的相关制度、技术标准、规范陆续出台，对安全生产费用的计取、使用与计量等方面产生了较大影响。因此有必要进行系统梳理以适应当前安全生产管理的最新形势。</w:t>
      </w:r>
    </w:p>
    <w:p>
      <w:pPr>
        <w:snapToGrid w:val="0"/>
        <w:spacing w:line="590" w:lineRule="exact"/>
        <w:ind w:firstLine="643" w:firstLineChars="200"/>
        <w:rPr>
          <w:rFonts w:ascii="Times New Roman" w:hAnsi="Times New Roman" w:eastAsia="方正仿宋_GBK"/>
          <w:sz w:val="32"/>
          <w:szCs w:val="32"/>
        </w:rPr>
      </w:pPr>
      <w:r>
        <w:rPr>
          <w:rFonts w:hint="eastAsia" w:ascii="Times New Roman" w:hAnsi="Times New Roman" w:eastAsia="方正仿宋_GBK"/>
          <w:b/>
          <w:bCs/>
          <w:sz w:val="32"/>
          <w:szCs w:val="32"/>
        </w:rPr>
        <w:t>二是进一步优化满足实际工作的需要。</w:t>
      </w:r>
      <w:r>
        <w:rPr>
          <w:rFonts w:hint="eastAsia" w:ascii="Times New Roman" w:hAnsi="Times New Roman" w:eastAsia="方正仿宋_GBK"/>
          <w:sz w:val="32"/>
          <w:szCs w:val="32"/>
        </w:rPr>
        <w:t>原《办法》作为全国交通运输行业首个安全生产费用管理规范性文件，自实施以来，为保障我省公路水运建设项目安全生产费用有序计取和使用起到了重要作用，在实践中也积累了丰富经验。但实施过程中，一些新情况、新问题陆续出现，如摊销费用如何计算、安全生产费用内容界定、总额计量如何落实等问题，给我省广大公路水运参建单位带来了一些困惑，亟需系统修订予以明确。</w:t>
      </w:r>
    </w:p>
    <w:p>
      <w:pPr>
        <w:snapToGrid w:val="0"/>
        <w:spacing w:line="590" w:lineRule="exact"/>
        <w:ind w:firstLine="643" w:firstLineChars="200"/>
        <w:rPr>
          <w:rFonts w:ascii="Times New Roman" w:hAnsi="Times New Roman" w:eastAsia="方正仿宋_GBK"/>
          <w:sz w:val="32"/>
          <w:szCs w:val="32"/>
        </w:rPr>
      </w:pPr>
      <w:r>
        <w:rPr>
          <w:rFonts w:hint="eastAsia" w:ascii="Times New Roman" w:hAnsi="Times New Roman" w:eastAsia="方正仿宋_GBK"/>
          <w:b/>
          <w:bCs/>
          <w:sz w:val="32"/>
          <w:szCs w:val="32"/>
        </w:rPr>
        <w:t>三是切实维护公路水运工程人员生命财产安全的需要。</w:t>
      </w:r>
      <w:r>
        <w:rPr>
          <w:rFonts w:hint="eastAsia" w:ascii="Times New Roman" w:hAnsi="Times New Roman" w:eastAsia="方正仿宋_GBK"/>
          <w:sz w:val="32"/>
          <w:szCs w:val="32"/>
        </w:rPr>
        <w:t>通过修订原《办法》，进一步规范安全生产费用管理和使用，</w:t>
      </w:r>
      <w:r>
        <w:rPr>
          <w:rFonts w:hint="eastAsia" w:ascii="Times New Roman" w:hAnsi="Times New Roman" w:eastAsia="方正仿宋_GBK"/>
          <w:color w:val="auto"/>
          <w:sz w:val="32"/>
          <w:szCs w:val="32"/>
        </w:rPr>
        <w:t>使安全生产费用范围更明确，</w:t>
      </w:r>
      <w:r>
        <w:rPr>
          <w:rFonts w:hint="eastAsia" w:ascii="Times New Roman" w:hAnsi="Times New Roman" w:eastAsia="方正仿宋_GBK"/>
          <w:sz w:val="32"/>
          <w:szCs w:val="32"/>
        </w:rPr>
        <w:t>有利于解决施工单位后顾之忧，提高施工单位安全生产费用投入的积极主动性，更好地落实安全生产措施，切实保障现场人员生命财产安全。</w:t>
      </w:r>
    </w:p>
    <w:bookmarkEnd w:id="1"/>
    <w:bookmarkEnd w:id="2"/>
    <w:p>
      <w:pPr>
        <w:pStyle w:val="2"/>
        <w:numPr>
          <w:ilvl w:val="0"/>
          <w:numId w:val="1"/>
        </w:numPr>
        <w:snapToGrid w:val="0"/>
        <w:spacing w:before="0" w:beforeAutospacing="0" w:after="0" w:afterAutospacing="0" w:line="590" w:lineRule="exact"/>
        <w:ind w:firstLine="640" w:firstLineChars="200"/>
        <w:rPr>
          <w:rFonts w:hint="default" w:ascii="方正黑体_GBK" w:hAnsi="方正黑体_GBK" w:eastAsia="方正黑体_GBK" w:cs="方正黑体_GBK"/>
          <w:b w:val="0"/>
          <w:sz w:val="32"/>
          <w:szCs w:val="32"/>
        </w:rPr>
      </w:pPr>
      <w:bookmarkStart w:id="3" w:name="_Toc21033"/>
      <w:r>
        <w:rPr>
          <w:rFonts w:ascii="方正黑体_GBK" w:hAnsi="方正黑体_GBK" w:eastAsia="方正黑体_GBK" w:cs="方正黑体_GBK"/>
          <w:b w:val="0"/>
          <w:sz w:val="32"/>
          <w:szCs w:val="32"/>
        </w:rPr>
        <w:t>起草过程</w:t>
      </w:r>
      <w:bookmarkEnd w:id="3"/>
    </w:p>
    <w:p>
      <w:pPr>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2023年8月，厅建管处</w:t>
      </w:r>
      <w:r>
        <w:rPr>
          <w:rFonts w:hint="eastAsia" w:ascii="Times New Roman" w:hAnsi="Times New Roman" w:eastAsia="方正仿宋_GBK"/>
          <w:sz w:val="32"/>
          <w:szCs w:val="32"/>
        </w:rPr>
        <w:t>在南通</w:t>
      </w:r>
      <w:r>
        <w:rPr>
          <w:rFonts w:ascii="Times New Roman" w:hAnsi="Times New Roman" w:eastAsia="方正仿宋_GBK"/>
          <w:sz w:val="32"/>
          <w:szCs w:val="32"/>
        </w:rPr>
        <w:t>组织原</w:t>
      </w:r>
      <w:r>
        <w:rPr>
          <w:rFonts w:hint="eastAsia" w:ascii="Times New Roman" w:hAnsi="Times New Roman" w:eastAsia="方正仿宋_GBK"/>
          <w:sz w:val="32"/>
          <w:szCs w:val="32"/>
        </w:rPr>
        <w:t>《办法》应用情况调研，重点在</w:t>
      </w:r>
      <w:r>
        <w:rPr>
          <w:rFonts w:ascii="Times New Roman" w:hAnsi="Times New Roman" w:eastAsia="方正仿宋_GBK"/>
          <w:sz w:val="32"/>
          <w:szCs w:val="32"/>
        </w:rPr>
        <w:t>南通市江海河联运项目、通锡高速海门至通州段、南通路桥启东市S335大洋港等</w:t>
      </w:r>
      <w:r>
        <w:rPr>
          <w:rFonts w:hint="eastAsia" w:ascii="Times New Roman" w:hAnsi="Times New Roman" w:eastAsia="方正仿宋_GBK"/>
          <w:sz w:val="32"/>
          <w:szCs w:val="32"/>
        </w:rPr>
        <w:t>公路水运工程</w:t>
      </w:r>
      <w:r>
        <w:rPr>
          <w:rFonts w:ascii="Times New Roman" w:hAnsi="Times New Roman" w:eastAsia="方正仿宋_GBK"/>
          <w:sz w:val="32"/>
          <w:szCs w:val="32"/>
        </w:rPr>
        <w:t>项目</w:t>
      </w:r>
      <w:r>
        <w:rPr>
          <w:rFonts w:hint="eastAsia" w:ascii="Times New Roman" w:hAnsi="Times New Roman" w:eastAsia="方正仿宋_GBK"/>
          <w:sz w:val="32"/>
          <w:szCs w:val="32"/>
        </w:rPr>
        <w:t>开展</w:t>
      </w:r>
      <w:r>
        <w:rPr>
          <w:rFonts w:ascii="Times New Roman" w:hAnsi="Times New Roman" w:eastAsia="方正仿宋_GBK"/>
          <w:sz w:val="32"/>
          <w:szCs w:val="32"/>
        </w:rPr>
        <w:t>，调研对象包括各建设、施工、监理等单位</w:t>
      </w:r>
      <w:r>
        <w:rPr>
          <w:rFonts w:hint="eastAsia" w:ascii="Times New Roman" w:hAnsi="Times New Roman" w:eastAsia="方正仿宋_GBK"/>
          <w:sz w:val="32"/>
          <w:szCs w:val="32"/>
        </w:rPr>
        <w:t>及现场</w:t>
      </w:r>
      <w:r>
        <w:rPr>
          <w:rFonts w:ascii="Times New Roman" w:hAnsi="Times New Roman" w:eastAsia="方正仿宋_GBK"/>
          <w:sz w:val="32"/>
          <w:szCs w:val="32"/>
        </w:rPr>
        <w:t>安全生产有关工作人员。调研内容主要</w:t>
      </w:r>
      <w:r>
        <w:rPr>
          <w:rFonts w:hint="eastAsia" w:ascii="Times New Roman" w:hAnsi="Times New Roman" w:eastAsia="方正仿宋_GBK"/>
          <w:sz w:val="32"/>
          <w:szCs w:val="32"/>
        </w:rPr>
        <w:t>包括</w:t>
      </w:r>
      <w:r>
        <w:rPr>
          <w:rFonts w:ascii="Times New Roman" w:hAnsi="Times New Roman" w:eastAsia="方正仿宋_GBK"/>
          <w:sz w:val="32"/>
          <w:szCs w:val="32"/>
        </w:rPr>
        <w:t>安全生产现场管理和安全生产费用计列情况、项目安全生产费用管理制度建立情况、安全生产费用计量支付情况、安全生产费用使用情况，</w:t>
      </w:r>
      <w:r>
        <w:rPr>
          <w:rFonts w:hint="eastAsia" w:ascii="Times New Roman" w:hAnsi="Times New Roman" w:eastAsia="方正仿宋_GBK"/>
          <w:sz w:val="32"/>
          <w:szCs w:val="32"/>
        </w:rPr>
        <w:t>及</w:t>
      </w:r>
      <w:r>
        <w:rPr>
          <w:rFonts w:ascii="Times New Roman" w:hAnsi="Times New Roman" w:eastAsia="方正仿宋_GBK"/>
          <w:sz w:val="32"/>
          <w:szCs w:val="32"/>
        </w:rPr>
        <w:t>安全生产</w:t>
      </w:r>
      <w:r>
        <w:rPr>
          <w:rFonts w:hint="eastAsia" w:ascii="Times New Roman" w:hAnsi="Times New Roman" w:eastAsia="方正仿宋_GBK"/>
          <w:sz w:val="32"/>
          <w:szCs w:val="32"/>
        </w:rPr>
        <w:t>费用</w:t>
      </w:r>
      <w:r>
        <w:rPr>
          <w:rFonts w:ascii="Times New Roman" w:hAnsi="Times New Roman" w:eastAsia="方正仿宋_GBK"/>
          <w:sz w:val="32"/>
          <w:szCs w:val="32"/>
        </w:rPr>
        <w:t>管理中存在的问题、意见和建议解决对策等。本次调研共收集反馈</w:t>
      </w:r>
      <w:r>
        <w:rPr>
          <w:rFonts w:hint="eastAsia" w:ascii="Times New Roman" w:hAnsi="Times New Roman" w:eastAsia="方正仿宋_GBK"/>
          <w:sz w:val="32"/>
          <w:szCs w:val="32"/>
        </w:rPr>
        <w:t>建议</w:t>
      </w:r>
      <w:r>
        <w:rPr>
          <w:rFonts w:ascii="Times New Roman" w:hAnsi="Times New Roman" w:eastAsia="方正仿宋_GBK"/>
          <w:sz w:val="32"/>
          <w:szCs w:val="32"/>
        </w:rPr>
        <w:t>意见70</w:t>
      </w:r>
      <w:r>
        <w:rPr>
          <w:rFonts w:hint="eastAsia" w:ascii="Times New Roman" w:hAnsi="Times New Roman" w:eastAsia="方正仿宋_GBK"/>
          <w:sz w:val="32"/>
          <w:szCs w:val="32"/>
        </w:rPr>
        <w:t>余</w:t>
      </w:r>
      <w:r>
        <w:rPr>
          <w:rFonts w:ascii="Times New Roman" w:hAnsi="Times New Roman" w:eastAsia="方正仿宋_GBK"/>
          <w:sz w:val="32"/>
          <w:szCs w:val="32"/>
        </w:rPr>
        <w:t>条</w:t>
      </w:r>
      <w:r>
        <w:rPr>
          <w:rFonts w:hint="eastAsia" w:ascii="Times New Roman" w:hAnsi="Times New Roman" w:eastAsia="方正仿宋_GBK"/>
          <w:sz w:val="32"/>
          <w:szCs w:val="32"/>
        </w:rPr>
        <w:t>，涵盖了适用性、与上位法一致性、安全生产费用使用情况以及具体内容的可操作性等内容。</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2023年9月~11月，根据调研情况，结合国家和省安全生产相关最新政策规定，对原《办法》进行系统梳理和修改，形成《办法》修订初稿。</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2024年6月，厅建管处组织内部讨论，经修改完善后形成《办法》征求意见稿。7月向厅有关机构和各市交通运输局征求意见，共收到76条反馈意见，</w:t>
      </w:r>
      <w:r>
        <w:rPr>
          <w:rFonts w:ascii="Times New Roman" w:hAnsi="Times New Roman" w:eastAsia="方正仿宋_GBK"/>
          <w:snapToGrid w:val="0"/>
          <w:color w:val="000000"/>
          <w:kern w:val="0"/>
          <w:sz w:val="32"/>
          <w:szCs w:val="20"/>
        </w:rPr>
        <w:t>经认真梳理和讨论，采纳其中</w:t>
      </w:r>
      <w:r>
        <w:rPr>
          <w:rFonts w:hint="eastAsia" w:ascii="Times New Roman" w:hAnsi="Times New Roman" w:eastAsia="方正仿宋_GBK"/>
          <w:snapToGrid w:val="0"/>
          <w:color w:val="000000"/>
          <w:kern w:val="0"/>
          <w:sz w:val="32"/>
          <w:szCs w:val="20"/>
        </w:rPr>
        <w:t>46</w:t>
      </w:r>
      <w:r>
        <w:rPr>
          <w:rFonts w:ascii="Times New Roman" w:hAnsi="Times New Roman" w:eastAsia="方正仿宋_GBK"/>
          <w:snapToGrid w:val="0"/>
          <w:color w:val="000000"/>
          <w:kern w:val="0"/>
          <w:sz w:val="32"/>
          <w:szCs w:val="20"/>
        </w:rPr>
        <w:t>条意见</w:t>
      </w:r>
      <w:r>
        <w:rPr>
          <w:rFonts w:hint="eastAsia" w:ascii="Times New Roman" w:hAnsi="Times New Roman" w:eastAsia="方正仿宋_GBK"/>
          <w:snapToGrid w:val="0"/>
          <w:color w:val="000000"/>
          <w:kern w:val="0"/>
          <w:sz w:val="32"/>
          <w:szCs w:val="20"/>
        </w:rPr>
        <w:t>，</w:t>
      </w:r>
      <w:r>
        <w:rPr>
          <w:rFonts w:hint="eastAsia" w:ascii="Times New Roman" w:hAnsi="Times New Roman" w:eastAsia="方正仿宋_GBK"/>
          <w:sz w:val="32"/>
          <w:szCs w:val="32"/>
        </w:rPr>
        <w:t>经修改完善</w:t>
      </w:r>
      <w:r>
        <w:rPr>
          <w:rFonts w:ascii="Times New Roman" w:hAnsi="Times New Roman" w:eastAsia="方正仿宋_GBK"/>
          <w:snapToGrid w:val="0"/>
          <w:color w:val="000000"/>
          <w:kern w:val="0"/>
          <w:sz w:val="32"/>
          <w:szCs w:val="20"/>
        </w:rPr>
        <w:t>后形成</w:t>
      </w:r>
      <w:r>
        <w:rPr>
          <w:rFonts w:ascii="Times New Roman" w:hAnsi="Times New Roman" w:eastAsia="方正仿宋_GBK"/>
          <w:sz w:val="32"/>
          <w:szCs w:val="32"/>
        </w:rPr>
        <w:t>《办法》</w:t>
      </w:r>
      <w:r>
        <w:rPr>
          <w:rFonts w:ascii="Times New Roman" w:hAnsi="Times New Roman" w:eastAsia="方正仿宋_GBK"/>
          <w:snapToGrid w:val="0"/>
          <w:color w:val="000000"/>
          <w:kern w:val="0"/>
          <w:sz w:val="32"/>
          <w:szCs w:val="20"/>
        </w:rPr>
        <w:t>送审稿</w:t>
      </w:r>
      <w:r>
        <w:rPr>
          <w:rFonts w:hint="eastAsia" w:ascii="Times New Roman" w:hAnsi="Times New Roman" w:eastAsia="方正仿宋_GBK"/>
          <w:snapToGrid w:val="0"/>
          <w:color w:val="000000"/>
          <w:kern w:val="0"/>
          <w:sz w:val="32"/>
          <w:szCs w:val="20"/>
        </w:rPr>
        <w:t>，</w:t>
      </w:r>
      <w:r>
        <w:rPr>
          <w:rFonts w:ascii="Times New Roman" w:hAnsi="Times New Roman" w:eastAsia="方正仿宋_GBK"/>
          <w:sz w:val="32"/>
          <w:szCs w:val="32"/>
        </w:rPr>
        <w:t>经厅建管处审查后按照厅规范性文件制定程序报厅法规处审查。</w:t>
      </w:r>
    </w:p>
    <w:p>
      <w:pPr>
        <w:pStyle w:val="2"/>
        <w:numPr>
          <w:ilvl w:val="0"/>
          <w:numId w:val="1"/>
        </w:numPr>
        <w:snapToGrid w:val="0"/>
        <w:spacing w:before="0" w:beforeAutospacing="0" w:after="0" w:afterAutospacing="0" w:line="590" w:lineRule="exact"/>
        <w:ind w:firstLine="640" w:firstLineChars="200"/>
        <w:rPr>
          <w:rFonts w:hint="default" w:ascii="方正黑体_GBK" w:hAnsi="方正黑体_GBK" w:eastAsia="方正黑体_GBK" w:cs="方正黑体_GBK"/>
          <w:b w:val="0"/>
          <w:sz w:val="32"/>
          <w:szCs w:val="32"/>
        </w:rPr>
      </w:pPr>
      <w:bookmarkStart w:id="4" w:name="_Toc14947"/>
      <w:r>
        <w:rPr>
          <w:rFonts w:ascii="方正黑体_GBK" w:hAnsi="方正黑体_GBK" w:eastAsia="方正黑体_GBK" w:cs="方正黑体_GBK"/>
          <w:b w:val="0"/>
          <w:sz w:val="32"/>
          <w:szCs w:val="32"/>
        </w:rPr>
        <w:t>主要</w:t>
      </w:r>
      <w:bookmarkEnd w:id="4"/>
      <w:r>
        <w:rPr>
          <w:rFonts w:ascii="方正黑体_GBK" w:hAnsi="方正黑体_GBK" w:eastAsia="方正黑体_GBK" w:cs="方正黑体_GBK"/>
          <w:b w:val="0"/>
          <w:sz w:val="32"/>
          <w:szCs w:val="32"/>
        </w:rPr>
        <w:t>内容</w:t>
      </w:r>
    </w:p>
    <w:p>
      <w:pPr>
        <w:pStyle w:val="3"/>
        <w:numPr>
          <w:ilvl w:val="0"/>
          <w:numId w:val="2"/>
        </w:numPr>
        <w:snapToGrid w:val="0"/>
        <w:spacing w:before="0" w:beforeAutospacing="0" w:after="0" w:afterAutospacing="0" w:line="590" w:lineRule="exact"/>
        <w:ind w:firstLine="643" w:firstLineChars="200"/>
        <w:rPr>
          <w:rFonts w:hint="default" w:ascii="方正楷体_GBK" w:hAnsi="方正楷体_GBK" w:eastAsia="方正楷体_GBK" w:cs="方正楷体_GBK"/>
          <w:sz w:val="32"/>
          <w:szCs w:val="24"/>
        </w:rPr>
      </w:pPr>
      <w:bookmarkStart w:id="5" w:name="_Toc5646"/>
      <w:bookmarkStart w:id="6" w:name="_Toc2399"/>
      <w:r>
        <w:rPr>
          <w:rFonts w:ascii="方正楷体_GBK" w:hAnsi="方正楷体_GBK" w:eastAsia="方正楷体_GBK" w:cs="方正楷体_GBK"/>
          <w:sz w:val="32"/>
          <w:szCs w:val="24"/>
        </w:rPr>
        <w:t>修订原则</w:t>
      </w:r>
      <w:bookmarkEnd w:id="5"/>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本次修订工作坚持问题导向和目标导向，严格依据上位法规定，对原《办法》进行系统修订。本次修订内容主要涉及以下几方面：一是按照国家和省安全管理最新政策，调整原《办法》中与最新上位法依据相矛盾的内容（如安全生产费用使用范围）；二是结合省厅近年印发的安全管理相关文件和实施效果，对一些成熟的经验做法在《办法》中予以固化（如安全生产费用提取标准）；三是结合原《办法》十余年来实施情况，针对遇到的实际问题对有关内容进行优化调整（如安全生产费用计量方式）。</w:t>
      </w:r>
    </w:p>
    <w:bookmarkEnd w:id="6"/>
    <w:p>
      <w:pPr>
        <w:pStyle w:val="3"/>
        <w:numPr>
          <w:ilvl w:val="0"/>
          <w:numId w:val="2"/>
        </w:numPr>
        <w:snapToGrid w:val="0"/>
        <w:spacing w:before="0" w:beforeAutospacing="0" w:after="0" w:afterAutospacing="0" w:line="590" w:lineRule="exact"/>
        <w:ind w:firstLine="643" w:firstLineChars="200"/>
        <w:rPr>
          <w:rFonts w:hint="default" w:ascii="方正楷体_GBK" w:hAnsi="方正楷体_GBK" w:eastAsia="方正楷体_GBK" w:cs="方正楷体_GBK"/>
          <w:sz w:val="32"/>
          <w:szCs w:val="24"/>
        </w:rPr>
      </w:pPr>
      <w:r>
        <w:rPr>
          <w:rFonts w:ascii="方正楷体_GBK" w:hAnsi="方正楷体_GBK" w:eastAsia="方正楷体_GBK" w:cs="方正楷体_GBK"/>
          <w:sz w:val="32"/>
          <w:szCs w:val="24"/>
        </w:rPr>
        <w:t>调整适用范围</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原《办法》适用范围为依法进行招投标的公路水运工程的新建、改建、扩建以及拆除、加固等建设项目，本次修订根据工程实际需要，将范围调整为在本省行政区域内的公路水运工程的新建、改建、扩建等建设项目。同时依据《江苏省交通建设工程质量和安全生产监督管理条例》和《企业安全生产费用提取和使用管理办法》相关规定，在附则中明确公路水运养护项目安全生产费用可以参照</w:t>
      </w:r>
      <w:r>
        <w:rPr>
          <w:rFonts w:hint="eastAsia" w:ascii="Times New Roman" w:hAnsi="Times New Roman" w:eastAsia="方正仿宋_GBK"/>
          <w:color w:val="auto"/>
          <w:sz w:val="32"/>
          <w:szCs w:val="32"/>
        </w:rPr>
        <w:t>本</w:t>
      </w:r>
      <w:r>
        <w:rPr>
          <w:rFonts w:hint="eastAsia" w:ascii="Times New Roman" w:hAnsi="Times New Roman" w:eastAsia="方正仿宋_GBK"/>
          <w:color w:val="auto"/>
          <w:sz w:val="32"/>
          <w:szCs w:val="32"/>
          <w:lang w:eastAsia="zh-CN"/>
        </w:rPr>
        <w:t>《</w:t>
      </w:r>
      <w:r>
        <w:rPr>
          <w:rFonts w:hint="eastAsia" w:ascii="Times New Roman" w:hAnsi="Times New Roman" w:eastAsia="方正仿宋_GBK"/>
          <w:color w:val="auto"/>
          <w:sz w:val="32"/>
          <w:szCs w:val="32"/>
        </w:rPr>
        <w:t>办法</w:t>
      </w:r>
      <w:r>
        <w:rPr>
          <w:rFonts w:hint="eastAsia" w:ascii="Times New Roman" w:hAnsi="Times New Roman" w:eastAsia="方正仿宋_GBK"/>
          <w:color w:val="auto"/>
          <w:sz w:val="32"/>
          <w:szCs w:val="32"/>
          <w:lang w:eastAsia="zh-CN"/>
        </w:rPr>
        <w:t>》</w:t>
      </w:r>
      <w:r>
        <w:rPr>
          <w:rFonts w:hint="eastAsia" w:ascii="Times New Roman" w:hAnsi="Times New Roman" w:eastAsia="方正仿宋_GBK"/>
          <w:sz w:val="32"/>
          <w:szCs w:val="32"/>
        </w:rPr>
        <w:t>执行。</w:t>
      </w:r>
    </w:p>
    <w:p>
      <w:pPr>
        <w:pStyle w:val="3"/>
        <w:numPr>
          <w:ilvl w:val="0"/>
          <w:numId w:val="2"/>
        </w:numPr>
        <w:snapToGrid w:val="0"/>
        <w:spacing w:before="0" w:beforeAutospacing="0" w:after="0" w:afterAutospacing="0" w:line="590" w:lineRule="exact"/>
        <w:ind w:firstLine="643" w:firstLineChars="200"/>
        <w:rPr>
          <w:rFonts w:hint="default" w:ascii="方正楷体_GBK" w:hAnsi="方正楷体_GBK" w:eastAsia="方正楷体_GBK" w:cs="方正楷体_GBK"/>
          <w:sz w:val="32"/>
          <w:szCs w:val="24"/>
        </w:rPr>
      </w:pPr>
      <w:r>
        <w:rPr>
          <w:rFonts w:ascii="方正楷体_GBK" w:hAnsi="方正楷体_GBK" w:eastAsia="方正楷体_GBK" w:cs="方正楷体_GBK"/>
          <w:sz w:val="32"/>
          <w:szCs w:val="24"/>
        </w:rPr>
        <w:t>进一步明确安全生产费用提取标准</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为进一步保障公路水运工程建设项目安全生产费用，按照江苏省安全生产委员会发布的《省安委会关于以更高标准 更严措施管控交通运输领域重大安全风险的通知》（苏安〔2019〕14号）和《江苏省交通运输厅关于执行交通运输部86号公告有关补充规定的通知》（苏交建〔2019〕22号）规定，《办法》第七条中对过江通道、高速公路改扩建工程和长度大于3000米的隧道工程，按照不低于1.8%的标准提取；主线桥梁长度占本项目里程超过20%的公路工程，桥梁工程总费用占本项目建筑安装工程费20%以上的水运工程，以及含高墩、悬浇、支架现浇的桥梁工程和一般隧道工程，按照不低于1.6%的标准提取；其他公路水运工程，按照国家规定的标准提取。考虑到不同合同段对于安全生产费用使用方面的差异，《办法》第八条中明确建设单位可以根据不同合同段实际情况，在招标文件中差别化确定安全生产费用提取标准，但不得低于1.5%。</w:t>
      </w:r>
    </w:p>
    <w:p>
      <w:pPr>
        <w:pStyle w:val="3"/>
        <w:numPr>
          <w:ilvl w:val="0"/>
          <w:numId w:val="2"/>
        </w:numPr>
        <w:snapToGrid w:val="0"/>
        <w:spacing w:before="0" w:beforeAutospacing="0" w:after="0" w:afterAutospacing="0" w:line="590" w:lineRule="exact"/>
        <w:ind w:firstLine="643" w:firstLineChars="200"/>
        <w:rPr>
          <w:rFonts w:hint="default" w:ascii="方正楷体_GBK" w:hAnsi="方正楷体_GBK" w:eastAsia="方正楷体_GBK" w:cs="方正楷体_GBK"/>
          <w:sz w:val="32"/>
          <w:szCs w:val="24"/>
        </w:rPr>
      </w:pPr>
      <w:r>
        <w:rPr>
          <w:rFonts w:ascii="方正楷体_GBK" w:hAnsi="方正楷体_GBK" w:eastAsia="方正楷体_GBK" w:cs="方正楷体_GBK"/>
          <w:sz w:val="32"/>
          <w:szCs w:val="24"/>
        </w:rPr>
        <w:t>调整安全生产费用使用范围与清单</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根据财政部和应急部修订的</w:t>
      </w:r>
      <w:r>
        <w:rPr>
          <w:rFonts w:hint="eastAsia" w:ascii="Times New Roman" w:hAnsi="Times New Roman" w:eastAsia="方正仿宋_GBK"/>
          <w:color w:val="auto"/>
          <w:sz w:val="32"/>
          <w:szCs w:val="32"/>
        </w:rPr>
        <w:t>《企业安全生产费用提取和使用管理办法》</w:t>
      </w:r>
      <w:r>
        <w:rPr>
          <w:rFonts w:hint="eastAsia" w:ascii="Times New Roman" w:hAnsi="Times New Roman" w:eastAsia="方正仿宋_GBK"/>
          <w:color w:val="auto"/>
          <w:sz w:val="32"/>
          <w:szCs w:val="32"/>
          <w:lang w:eastAsia="zh-CN"/>
        </w:rPr>
        <w:t>（财资〔2022〕136号）</w:t>
      </w:r>
      <w:r>
        <w:rPr>
          <w:rFonts w:hint="eastAsia" w:ascii="Times New Roman" w:hAnsi="Times New Roman" w:eastAsia="方正仿宋_GBK"/>
          <w:sz w:val="32"/>
          <w:szCs w:val="32"/>
        </w:rPr>
        <w:t>，参照交通运输部正在起草的《公路水运工程安全生产费用管理办法（征求意见稿）》，《办法》将安全生产费用的使用范围由原来的九大类调整为十二大类。为便于安全生产费用的具体计量，结合</w:t>
      </w:r>
      <w:r>
        <w:rPr>
          <w:rFonts w:hint="eastAsia" w:ascii="Times New Roman" w:hAnsi="Times New Roman" w:eastAsia="方正仿宋_GBK"/>
          <w:color w:val="auto"/>
          <w:sz w:val="32"/>
          <w:szCs w:val="32"/>
        </w:rPr>
        <w:t>部</w:t>
      </w:r>
      <w:bookmarkStart w:id="7" w:name="_GoBack"/>
      <w:bookmarkEnd w:id="7"/>
      <w:r>
        <w:rPr>
          <w:rFonts w:hint="eastAsia" w:ascii="Times New Roman" w:hAnsi="Times New Roman" w:eastAsia="方正仿宋_GBK"/>
          <w:color w:val="auto"/>
          <w:sz w:val="32"/>
          <w:szCs w:val="32"/>
        </w:rPr>
        <w:t>行业标准</w:t>
      </w:r>
      <w:r>
        <w:rPr>
          <w:rFonts w:ascii="Times New Roman" w:hAnsi="Times New Roman" w:eastAsia="方正仿宋_GBK"/>
          <w:sz w:val="32"/>
          <w:szCs w:val="32"/>
        </w:rPr>
        <w:t>《公路工程建设项目安全生产费用清单计量规范</w:t>
      </w:r>
      <w:r>
        <w:rPr>
          <w:rFonts w:hint="eastAsia" w:ascii="Times New Roman" w:hAnsi="Times New Roman" w:eastAsia="方正仿宋_GBK"/>
          <w:sz w:val="32"/>
          <w:szCs w:val="32"/>
        </w:rPr>
        <w:t>（报批稿）</w:t>
      </w:r>
      <w:r>
        <w:rPr>
          <w:rFonts w:ascii="Times New Roman" w:hAnsi="Times New Roman" w:eastAsia="方正仿宋_GBK"/>
          <w:sz w:val="32"/>
          <w:szCs w:val="32"/>
        </w:rPr>
        <w:t>》</w:t>
      </w:r>
      <w:r>
        <w:rPr>
          <w:rFonts w:hint="eastAsia" w:ascii="Times New Roman" w:hAnsi="Times New Roman" w:eastAsia="方正仿宋_GBK"/>
          <w:sz w:val="32"/>
          <w:szCs w:val="32"/>
        </w:rPr>
        <w:t>，结合我省安全生产费用管理实际需要，《办法》附件中提供了《江苏省公路水运工程安全生产费用计量清单》（附件表2），对安全生产费用的具体费用明细进行了明确，以方便现场安全生产费用计量。同时考虑到实际工作过程中部分施工措施费用或者企业管理费用易与安全生产费用混淆，为进一步明确安全生产费用使用范围，减少争议，提高工作效率，参照应急部发布的《&lt;企业安全生产费用提取和使用管理办法&gt;解读》和《公路水运工程安全生产费用管理办法（征求意见稿）》，修订组制订了《江苏省公路水运工程安全生产费用负面清单》（附件表3），供参建单位参考使用。</w:t>
      </w:r>
    </w:p>
    <w:p>
      <w:pPr>
        <w:pStyle w:val="3"/>
        <w:numPr>
          <w:ilvl w:val="0"/>
          <w:numId w:val="2"/>
        </w:numPr>
        <w:snapToGrid w:val="0"/>
        <w:spacing w:before="0" w:beforeAutospacing="0" w:after="0" w:afterAutospacing="0" w:line="590" w:lineRule="exact"/>
        <w:ind w:firstLine="643" w:firstLineChars="200"/>
        <w:rPr>
          <w:rFonts w:hint="default" w:ascii="方正楷体_GBK" w:hAnsi="方正楷体_GBK" w:eastAsia="方正楷体_GBK" w:cs="方正楷体_GBK"/>
          <w:sz w:val="32"/>
          <w:szCs w:val="24"/>
        </w:rPr>
      </w:pPr>
      <w:r>
        <w:rPr>
          <w:rFonts w:ascii="方正楷体_GBK" w:hAnsi="方正楷体_GBK" w:eastAsia="方正楷体_GBK" w:cs="方正楷体_GBK"/>
          <w:sz w:val="32"/>
          <w:szCs w:val="24"/>
        </w:rPr>
        <w:t>增加安全生产费用预付款的规定</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长期以来，安全生产费用预付款一直是随工程预付款一起支付，与安全生产费用前期投入比例明显不匹配。本次修订根据《企业安全生产费用提取和使用管理办法》及其解读，增加相关规定，要求建设单位在招标文件中明确安全生产费用预付款比例、支付形式及扣回方式等事项，其中预付款比例不得低于建设单位项目安全生产费用提取和使用计划中第一年度安全生产费用总额的50%。工程开工之日起一个月内，建设单位应当按照合同约定向施工单位支付安全生产费用预付款。工程建设期间，施工单位应当根据安全生产费用实际使用情况，与工程进度款同期办理安全生产费用计量，预付的安全生产费用按照合同约定的方式扣回。总包单位（总包人）应当在分包工程开工日一个月内按比例将发包人支付的安全生产费用直接支付给分包单位（分包人）。</w:t>
      </w:r>
    </w:p>
    <w:p>
      <w:pPr>
        <w:pStyle w:val="3"/>
        <w:numPr>
          <w:ilvl w:val="0"/>
          <w:numId w:val="2"/>
        </w:numPr>
        <w:snapToGrid w:val="0"/>
        <w:spacing w:before="0" w:beforeAutospacing="0" w:after="0" w:afterAutospacing="0" w:line="590" w:lineRule="exact"/>
        <w:ind w:firstLine="643" w:firstLineChars="200"/>
        <w:rPr>
          <w:rFonts w:hint="default" w:ascii="方正楷体_GBK" w:hAnsi="方正楷体_GBK" w:eastAsia="方正楷体_GBK" w:cs="方正楷体_GBK"/>
          <w:sz w:val="32"/>
          <w:szCs w:val="24"/>
        </w:rPr>
      </w:pPr>
      <w:r>
        <w:rPr>
          <w:rFonts w:ascii="方正楷体_GBK" w:hAnsi="方正楷体_GBK" w:eastAsia="方正楷体_GBK" w:cs="方正楷体_GBK"/>
          <w:sz w:val="32"/>
          <w:szCs w:val="24"/>
        </w:rPr>
        <w:t>调整超支处理方式</w:t>
      </w:r>
    </w:p>
    <w:p>
      <w:pPr>
        <w:snapToGrid w:val="0"/>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原《办法》中除重大设计变更可以增补安全生产费用外，对于安全生产费用实际支出超过合同约定的安全生产费用总额的，合同未约定处理方式的，超出部分按照建设单位与施工单位各承担50%的原则处理。本次修订按照《企业安全生产费用提取和使用管理办法》和《公路水运工程安全生产费用管理办法（征求意见稿）》规定，除重大设计变更增补安全生产费用外，施工单位安全生产费用实际支出超过合同约定的安全生产费用总额的，合同约定处理方式的，由建设单位与施工单位依据合同约定处理；合同未约定的，施工单位应当据实调整本合同段安全生产费用使用计划，报监理单位审核确认，经建设单位同意后，在工程量清单中予以增补。</w:t>
      </w:r>
    </w:p>
    <w:sectPr>
      <w:footerReference r:id="rId3" w:type="default"/>
      <w:pgSz w:w="11906" w:h="16838"/>
      <w:pgMar w:top="2098" w:right="1474" w:bottom="1984" w:left="1587"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Helvetica Ne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18264094"/>
    </w:sdtPr>
    <w:sdtContent>
      <w:p>
        <w:pPr>
          <w:pStyle w:val="13"/>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6</w:t>
        </w:r>
        <w:r>
          <w:rPr>
            <w:rFonts w:ascii="Times New Roman" w:hAnsi="Times New Roman"/>
            <w:sz w:val="28"/>
            <w:szCs w:val="28"/>
          </w:rPr>
          <w:fldChar w:fldCharType="end"/>
        </w:r>
        <w:r>
          <w:rPr>
            <w:rFonts w:ascii="Times New Roman" w:hAnsi="Times New Roman"/>
            <w:sz w:val="28"/>
            <w:szCs w:val="28"/>
          </w:rPr>
          <w:t xml:space="preserve"> —</w:t>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D466B7"/>
    <w:multiLevelType w:val="singleLevel"/>
    <w:tmpl w:val="39D466B7"/>
    <w:lvl w:ilvl="0" w:tentative="0">
      <w:start w:val="1"/>
      <w:numFmt w:val="chineseCounting"/>
      <w:suff w:val="nothing"/>
      <w:lvlText w:val="（%1）"/>
      <w:lvlJc w:val="left"/>
      <w:pPr>
        <w:ind w:left="0" w:firstLine="420"/>
      </w:pPr>
      <w:rPr>
        <w:rFonts w:hint="eastAsia"/>
      </w:rPr>
    </w:lvl>
  </w:abstractNum>
  <w:abstractNum w:abstractNumId="1">
    <w:nsid w:val="3F8E1D65"/>
    <w:multiLevelType w:val="singleLevel"/>
    <w:tmpl w:val="3F8E1D65"/>
    <w:lvl w:ilvl="0" w:tentative="0">
      <w:start w:val="1"/>
      <w:numFmt w:val="chineseCounting"/>
      <w:suff w:val="nothing"/>
      <w:lvlText w:val="%1、"/>
      <w:lvlJc w:val="left"/>
      <w:pPr>
        <w:ind w:left="0" w:firstLine="4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GEyYWFhZDliZTQ2ZDQyNDFlYTY1NWUyMjA4NDdjZjkifQ=="/>
  </w:docVars>
  <w:rsids>
    <w:rsidRoot w:val="00172A27"/>
    <w:rsid w:val="00020D03"/>
    <w:rsid w:val="00172A27"/>
    <w:rsid w:val="00186A75"/>
    <w:rsid w:val="002F551B"/>
    <w:rsid w:val="003A184A"/>
    <w:rsid w:val="0041758D"/>
    <w:rsid w:val="00457EB8"/>
    <w:rsid w:val="005D3029"/>
    <w:rsid w:val="00634437"/>
    <w:rsid w:val="00660E7A"/>
    <w:rsid w:val="0066491C"/>
    <w:rsid w:val="00871843"/>
    <w:rsid w:val="009462D9"/>
    <w:rsid w:val="00A00599"/>
    <w:rsid w:val="00A055F3"/>
    <w:rsid w:val="00A06D48"/>
    <w:rsid w:val="00A66465"/>
    <w:rsid w:val="00A66C84"/>
    <w:rsid w:val="00B40ACD"/>
    <w:rsid w:val="00D45F04"/>
    <w:rsid w:val="00DB5DCA"/>
    <w:rsid w:val="00DB7BCF"/>
    <w:rsid w:val="00F82C3B"/>
    <w:rsid w:val="00FD4971"/>
    <w:rsid w:val="010221E9"/>
    <w:rsid w:val="01273A5E"/>
    <w:rsid w:val="014B3727"/>
    <w:rsid w:val="016012B0"/>
    <w:rsid w:val="01C20542"/>
    <w:rsid w:val="01CC0CC7"/>
    <w:rsid w:val="01F60E54"/>
    <w:rsid w:val="01FD1152"/>
    <w:rsid w:val="0218414F"/>
    <w:rsid w:val="021F45D0"/>
    <w:rsid w:val="02315D4B"/>
    <w:rsid w:val="025C14F2"/>
    <w:rsid w:val="026E67A5"/>
    <w:rsid w:val="02987943"/>
    <w:rsid w:val="02E97E1D"/>
    <w:rsid w:val="033D6305"/>
    <w:rsid w:val="03440058"/>
    <w:rsid w:val="03B41AB5"/>
    <w:rsid w:val="03BA027C"/>
    <w:rsid w:val="03BB7B05"/>
    <w:rsid w:val="03FF3351"/>
    <w:rsid w:val="041B155C"/>
    <w:rsid w:val="044F55A4"/>
    <w:rsid w:val="04514153"/>
    <w:rsid w:val="04932C9B"/>
    <w:rsid w:val="049617DC"/>
    <w:rsid w:val="04AB5538"/>
    <w:rsid w:val="04BD33CE"/>
    <w:rsid w:val="04C44632"/>
    <w:rsid w:val="04F3712E"/>
    <w:rsid w:val="050F326C"/>
    <w:rsid w:val="053B42DD"/>
    <w:rsid w:val="053C7623"/>
    <w:rsid w:val="0574799B"/>
    <w:rsid w:val="05F660C9"/>
    <w:rsid w:val="063B2C83"/>
    <w:rsid w:val="06497A35"/>
    <w:rsid w:val="07227D2E"/>
    <w:rsid w:val="076C329B"/>
    <w:rsid w:val="076F533C"/>
    <w:rsid w:val="07D86B41"/>
    <w:rsid w:val="07FA4E38"/>
    <w:rsid w:val="081450A2"/>
    <w:rsid w:val="082C3E75"/>
    <w:rsid w:val="083334BC"/>
    <w:rsid w:val="083823D1"/>
    <w:rsid w:val="08926F84"/>
    <w:rsid w:val="08A70A1E"/>
    <w:rsid w:val="08D37F78"/>
    <w:rsid w:val="08DD2784"/>
    <w:rsid w:val="09412D13"/>
    <w:rsid w:val="09826B0C"/>
    <w:rsid w:val="0A1D4C01"/>
    <w:rsid w:val="0A1E4435"/>
    <w:rsid w:val="0A1F7F92"/>
    <w:rsid w:val="0A366F35"/>
    <w:rsid w:val="0A495478"/>
    <w:rsid w:val="0A9158E4"/>
    <w:rsid w:val="0AD007F3"/>
    <w:rsid w:val="0B470B27"/>
    <w:rsid w:val="0B494C05"/>
    <w:rsid w:val="0B9827DF"/>
    <w:rsid w:val="0BB7276C"/>
    <w:rsid w:val="0BE80418"/>
    <w:rsid w:val="0BFA53FB"/>
    <w:rsid w:val="0C1A5BC1"/>
    <w:rsid w:val="0C333ACE"/>
    <w:rsid w:val="0C420FA9"/>
    <w:rsid w:val="0C4768A1"/>
    <w:rsid w:val="0C491737"/>
    <w:rsid w:val="0C9C53FE"/>
    <w:rsid w:val="0CBB4E66"/>
    <w:rsid w:val="0CE55CFE"/>
    <w:rsid w:val="0D526928"/>
    <w:rsid w:val="0D5D514D"/>
    <w:rsid w:val="0DAB5052"/>
    <w:rsid w:val="0DD074A7"/>
    <w:rsid w:val="0DE96192"/>
    <w:rsid w:val="0E486D45"/>
    <w:rsid w:val="0E5563F8"/>
    <w:rsid w:val="0EDC7FE3"/>
    <w:rsid w:val="0EE51472"/>
    <w:rsid w:val="0EF3079F"/>
    <w:rsid w:val="0F1A576B"/>
    <w:rsid w:val="0F3E048F"/>
    <w:rsid w:val="0F570191"/>
    <w:rsid w:val="0FA41D79"/>
    <w:rsid w:val="10357C75"/>
    <w:rsid w:val="1069030F"/>
    <w:rsid w:val="10D87B2F"/>
    <w:rsid w:val="10E25509"/>
    <w:rsid w:val="10F61301"/>
    <w:rsid w:val="110D41FA"/>
    <w:rsid w:val="111A35FE"/>
    <w:rsid w:val="112E0021"/>
    <w:rsid w:val="11585D7C"/>
    <w:rsid w:val="117C1848"/>
    <w:rsid w:val="11B104A3"/>
    <w:rsid w:val="11C32DE2"/>
    <w:rsid w:val="11C36A0D"/>
    <w:rsid w:val="11E82916"/>
    <w:rsid w:val="11ED5CE9"/>
    <w:rsid w:val="121F07A8"/>
    <w:rsid w:val="12396C8F"/>
    <w:rsid w:val="124C39DA"/>
    <w:rsid w:val="12A330F9"/>
    <w:rsid w:val="12C544AB"/>
    <w:rsid w:val="12CC7E45"/>
    <w:rsid w:val="12EE52E5"/>
    <w:rsid w:val="1330168A"/>
    <w:rsid w:val="13444E62"/>
    <w:rsid w:val="13723D9D"/>
    <w:rsid w:val="13947949"/>
    <w:rsid w:val="13C24E03"/>
    <w:rsid w:val="13CA225A"/>
    <w:rsid w:val="13D07895"/>
    <w:rsid w:val="142B6D3A"/>
    <w:rsid w:val="14A40CBC"/>
    <w:rsid w:val="14CD71FB"/>
    <w:rsid w:val="14CF3D09"/>
    <w:rsid w:val="14DE5C4E"/>
    <w:rsid w:val="14FF4236"/>
    <w:rsid w:val="15000600"/>
    <w:rsid w:val="150D3802"/>
    <w:rsid w:val="153D4CD7"/>
    <w:rsid w:val="159F0CEB"/>
    <w:rsid w:val="15B33A9E"/>
    <w:rsid w:val="15CB0717"/>
    <w:rsid w:val="15DF4927"/>
    <w:rsid w:val="15EB5B02"/>
    <w:rsid w:val="1606331B"/>
    <w:rsid w:val="161933A7"/>
    <w:rsid w:val="16426169"/>
    <w:rsid w:val="164E4CC1"/>
    <w:rsid w:val="169B4F8A"/>
    <w:rsid w:val="16C2562D"/>
    <w:rsid w:val="16CF5E02"/>
    <w:rsid w:val="16DA7210"/>
    <w:rsid w:val="16F55B73"/>
    <w:rsid w:val="173E6C7B"/>
    <w:rsid w:val="174132BA"/>
    <w:rsid w:val="174E54A1"/>
    <w:rsid w:val="17630A7F"/>
    <w:rsid w:val="18671AE9"/>
    <w:rsid w:val="186A061D"/>
    <w:rsid w:val="18CD4DA9"/>
    <w:rsid w:val="192B1B3D"/>
    <w:rsid w:val="199E6269"/>
    <w:rsid w:val="19A540AB"/>
    <w:rsid w:val="19BC7103"/>
    <w:rsid w:val="19ED4824"/>
    <w:rsid w:val="1A1706EC"/>
    <w:rsid w:val="1A231AC6"/>
    <w:rsid w:val="1A36784A"/>
    <w:rsid w:val="1A4D795A"/>
    <w:rsid w:val="1A675FE6"/>
    <w:rsid w:val="1A697403"/>
    <w:rsid w:val="1AA15FB8"/>
    <w:rsid w:val="1AA3038A"/>
    <w:rsid w:val="1AD56C3A"/>
    <w:rsid w:val="1AD734D7"/>
    <w:rsid w:val="1B04155D"/>
    <w:rsid w:val="1B1E41B3"/>
    <w:rsid w:val="1BD50639"/>
    <w:rsid w:val="1BD63C62"/>
    <w:rsid w:val="1BDF34D1"/>
    <w:rsid w:val="1BEE7828"/>
    <w:rsid w:val="1C364D43"/>
    <w:rsid w:val="1C5A692A"/>
    <w:rsid w:val="1C5B4D89"/>
    <w:rsid w:val="1C9841E1"/>
    <w:rsid w:val="1CA8477A"/>
    <w:rsid w:val="1CE82F54"/>
    <w:rsid w:val="1CF8633A"/>
    <w:rsid w:val="1CFD3AC2"/>
    <w:rsid w:val="1CFD4C6D"/>
    <w:rsid w:val="1D043886"/>
    <w:rsid w:val="1D110EBE"/>
    <w:rsid w:val="1D11175E"/>
    <w:rsid w:val="1D29476B"/>
    <w:rsid w:val="1D356E60"/>
    <w:rsid w:val="1D531F74"/>
    <w:rsid w:val="1D554CD2"/>
    <w:rsid w:val="1D8D6344"/>
    <w:rsid w:val="1DA0099F"/>
    <w:rsid w:val="1DA1112F"/>
    <w:rsid w:val="1DAF647B"/>
    <w:rsid w:val="1DE267BA"/>
    <w:rsid w:val="1E217C8F"/>
    <w:rsid w:val="1E454BFC"/>
    <w:rsid w:val="1E8B1E2C"/>
    <w:rsid w:val="1E8E752D"/>
    <w:rsid w:val="1E917602"/>
    <w:rsid w:val="1E920350"/>
    <w:rsid w:val="1E975888"/>
    <w:rsid w:val="1EEE7608"/>
    <w:rsid w:val="1EFE19C2"/>
    <w:rsid w:val="1EFF6567"/>
    <w:rsid w:val="1F0A6DB2"/>
    <w:rsid w:val="1F0E22FF"/>
    <w:rsid w:val="1F4F6726"/>
    <w:rsid w:val="1F6D3987"/>
    <w:rsid w:val="1FB159D8"/>
    <w:rsid w:val="1FC0629E"/>
    <w:rsid w:val="1FCA128A"/>
    <w:rsid w:val="200A6921"/>
    <w:rsid w:val="2067270D"/>
    <w:rsid w:val="208E5465"/>
    <w:rsid w:val="209651AA"/>
    <w:rsid w:val="2098302D"/>
    <w:rsid w:val="20AF1EEC"/>
    <w:rsid w:val="211D776A"/>
    <w:rsid w:val="21585DB1"/>
    <w:rsid w:val="216A444C"/>
    <w:rsid w:val="21C72C93"/>
    <w:rsid w:val="222A57F6"/>
    <w:rsid w:val="22836263"/>
    <w:rsid w:val="228A48BA"/>
    <w:rsid w:val="22934000"/>
    <w:rsid w:val="22AE44C2"/>
    <w:rsid w:val="23072A83"/>
    <w:rsid w:val="231205DE"/>
    <w:rsid w:val="231B5750"/>
    <w:rsid w:val="23240D98"/>
    <w:rsid w:val="232A66A0"/>
    <w:rsid w:val="23341049"/>
    <w:rsid w:val="2345755A"/>
    <w:rsid w:val="23566F63"/>
    <w:rsid w:val="23593C8E"/>
    <w:rsid w:val="23900D85"/>
    <w:rsid w:val="23EF0486"/>
    <w:rsid w:val="24011D63"/>
    <w:rsid w:val="24160E1E"/>
    <w:rsid w:val="242A687F"/>
    <w:rsid w:val="243B4B06"/>
    <w:rsid w:val="243C52DE"/>
    <w:rsid w:val="24466FD8"/>
    <w:rsid w:val="245B5C92"/>
    <w:rsid w:val="24BD3555"/>
    <w:rsid w:val="24D33D4B"/>
    <w:rsid w:val="24F57250"/>
    <w:rsid w:val="250E6F54"/>
    <w:rsid w:val="252154BE"/>
    <w:rsid w:val="25332DFE"/>
    <w:rsid w:val="254F40BC"/>
    <w:rsid w:val="257B292B"/>
    <w:rsid w:val="25BA22FE"/>
    <w:rsid w:val="25F17118"/>
    <w:rsid w:val="2617030E"/>
    <w:rsid w:val="26250F0A"/>
    <w:rsid w:val="26321DB7"/>
    <w:rsid w:val="2634197D"/>
    <w:rsid w:val="266E1849"/>
    <w:rsid w:val="266F2FBD"/>
    <w:rsid w:val="267047E0"/>
    <w:rsid w:val="26727476"/>
    <w:rsid w:val="273B59DE"/>
    <w:rsid w:val="278037CC"/>
    <w:rsid w:val="27B31AAE"/>
    <w:rsid w:val="27B97A3A"/>
    <w:rsid w:val="27C50CF8"/>
    <w:rsid w:val="27E34FFB"/>
    <w:rsid w:val="27F33FEA"/>
    <w:rsid w:val="280D1173"/>
    <w:rsid w:val="28422BE6"/>
    <w:rsid w:val="28460C31"/>
    <w:rsid w:val="2848698A"/>
    <w:rsid w:val="28A52B3B"/>
    <w:rsid w:val="28C95B0A"/>
    <w:rsid w:val="28CB1EA1"/>
    <w:rsid w:val="28CD114B"/>
    <w:rsid w:val="290A6470"/>
    <w:rsid w:val="29201071"/>
    <w:rsid w:val="292909F3"/>
    <w:rsid w:val="29674CDA"/>
    <w:rsid w:val="29694084"/>
    <w:rsid w:val="29763DAA"/>
    <w:rsid w:val="29C9391C"/>
    <w:rsid w:val="29C976D6"/>
    <w:rsid w:val="29F418A8"/>
    <w:rsid w:val="2A6F0A61"/>
    <w:rsid w:val="2A7C7BF7"/>
    <w:rsid w:val="2A9218A4"/>
    <w:rsid w:val="2ADC686D"/>
    <w:rsid w:val="2B066E22"/>
    <w:rsid w:val="2B2273BF"/>
    <w:rsid w:val="2B3A3CA1"/>
    <w:rsid w:val="2B3C6954"/>
    <w:rsid w:val="2B5A6374"/>
    <w:rsid w:val="2B6F5927"/>
    <w:rsid w:val="2B775D96"/>
    <w:rsid w:val="2B852588"/>
    <w:rsid w:val="2BAA6202"/>
    <w:rsid w:val="2BE46810"/>
    <w:rsid w:val="2C2811DA"/>
    <w:rsid w:val="2C4209CD"/>
    <w:rsid w:val="2C5C7C91"/>
    <w:rsid w:val="2C6A02F4"/>
    <w:rsid w:val="2C733BEE"/>
    <w:rsid w:val="2C801F12"/>
    <w:rsid w:val="2C82701B"/>
    <w:rsid w:val="2CBF6E23"/>
    <w:rsid w:val="2CC37338"/>
    <w:rsid w:val="2CF67A4F"/>
    <w:rsid w:val="2CFA0EBF"/>
    <w:rsid w:val="2D657C06"/>
    <w:rsid w:val="2D752839"/>
    <w:rsid w:val="2D815F44"/>
    <w:rsid w:val="2DB24674"/>
    <w:rsid w:val="2DCB4AA6"/>
    <w:rsid w:val="2E0561E7"/>
    <w:rsid w:val="2E206AEC"/>
    <w:rsid w:val="2E8468D8"/>
    <w:rsid w:val="2EA72D69"/>
    <w:rsid w:val="2F301540"/>
    <w:rsid w:val="2F4E206F"/>
    <w:rsid w:val="2FBE401E"/>
    <w:rsid w:val="2FF124EE"/>
    <w:rsid w:val="30145794"/>
    <w:rsid w:val="30317140"/>
    <w:rsid w:val="303F3402"/>
    <w:rsid w:val="30617904"/>
    <w:rsid w:val="307A5119"/>
    <w:rsid w:val="311B750B"/>
    <w:rsid w:val="31244CDC"/>
    <w:rsid w:val="314D1383"/>
    <w:rsid w:val="31543DC1"/>
    <w:rsid w:val="31606EE8"/>
    <w:rsid w:val="318166F6"/>
    <w:rsid w:val="31C63837"/>
    <w:rsid w:val="320038B9"/>
    <w:rsid w:val="321F3477"/>
    <w:rsid w:val="3225696F"/>
    <w:rsid w:val="32664C6F"/>
    <w:rsid w:val="327F4AD6"/>
    <w:rsid w:val="32AF139D"/>
    <w:rsid w:val="32F069E1"/>
    <w:rsid w:val="33112DCC"/>
    <w:rsid w:val="332C3FCD"/>
    <w:rsid w:val="333C4629"/>
    <w:rsid w:val="33A27C55"/>
    <w:rsid w:val="33BA6F45"/>
    <w:rsid w:val="33C710A2"/>
    <w:rsid w:val="33E3258B"/>
    <w:rsid w:val="33E4236E"/>
    <w:rsid w:val="33F14691"/>
    <w:rsid w:val="3431570C"/>
    <w:rsid w:val="344772D5"/>
    <w:rsid w:val="345B06C7"/>
    <w:rsid w:val="34621EB4"/>
    <w:rsid w:val="34701C83"/>
    <w:rsid w:val="3472148B"/>
    <w:rsid w:val="34987666"/>
    <w:rsid w:val="34A81AF4"/>
    <w:rsid w:val="34C75DF5"/>
    <w:rsid w:val="35263729"/>
    <w:rsid w:val="35986E4F"/>
    <w:rsid w:val="35A11DB0"/>
    <w:rsid w:val="35B3018C"/>
    <w:rsid w:val="36063A3F"/>
    <w:rsid w:val="36081862"/>
    <w:rsid w:val="360B765A"/>
    <w:rsid w:val="36152D3C"/>
    <w:rsid w:val="36801E51"/>
    <w:rsid w:val="36B82B77"/>
    <w:rsid w:val="36C43710"/>
    <w:rsid w:val="370F47EF"/>
    <w:rsid w:val="3719025E"/>
    <w:rsid w:val="371E2445"/>
    <w:rsid w:val="373F4487"/>
    <w:rsid w:val="375F68D7"/>
    <w:rsid w:val="379F199E"/>
    <w:rsid w:val="37C95065"/>
    <w:rsid w:val="37EA2F0F"/>
    <w:rsid w:val="38114D8C"/>
    <w:rsid w:val="382E5B98"/>
    <w:rsid w:val="38641789"/>
    <w:rsid w:val="38642DB8"/>
    <w:rsid w:val="388034EE"/>
    <w:rsid w:val="3885411B"/>
    <w:rsid w:val="38B63734"/>
    <w:rsid w:val="38BE1E60"/>
    <w:rsid w:val="38E21CC3"/>
    <w:rsid w:val="38E946AA"/>
    <w:rsid w:val="38FF096D"/>
    <w:rsid w:val="391A61BB"/>
    <w:rsid w:val="393D7D07"/>
    <w:rsid w:val="3952050E"/>
    <w:rsid w:val="397906D3"/>
    <w:rsid w:val="39986709"/>
    <w:rsid w:val="3A31133E"/>
    <w:rsid w:val="3A343A49"/>
    <w:rsid w:val="3A6D4C03"/>
    <w:rsid w:val="3ABC2D9F"/>
    <w:rsid w:val="3ACE14BD"/>
    <w:rsid w:val="3AD279D9"/>
    <w:rsid w:val="3B010E4A"/>
    <w:rsid w:val="3B502BE3"/>
    <w:rsid w:val="3B8D4CB6"/>
    <w:rsid w:val="3B9935E9"/>
    <w:rsid w:val="3BAC5E9A"/>
    <w:rsid w:val="3BB93A0B"/>
    <w:rsid w:val="3BE30E96"/>
    <w:rsid w:val="3C106207"/>
    <w:rsid w:val="3C252442"/>
    <w:rsid w:val="3C6349A3"/>
    <w:rsid w:val="3C8F3C37"/>
    <w:rsid w:val="3CA56B3A"/>
    <w:rsid w:val="3D0E589C"/>
    <w:rsid w:val="3D1A3501"/>
    <w:rsid w:val="3D2031C7"/>
    <w:rsid w:val="3D556267"/>
    <w:rsid w:val="3D7C1E5E"/>
    <w:rsid w:val="3D97549B"/>
    <w:rsid w:val="3DB5594D"/>
    <w:rsid w:val="3DE03850"/>
    <w:rsid w:val="3E1E76C5"/>
    <w:rsid w:val="3E705A18"/>
    <w:rsid w:val="3EC24439"/>
    <w:rsid w:val="3F783189"/>
    <w:rsid w:val="3FC46458"/>
    <w:rsid w:val="3FE96790"/>
    <w:rsid w:val="3FEA0D08"/>
    <w:rsid w:val="40237B0F"/>
    <w:rsid w:val="40251D40"/>
    <w:rsid w:val="40254942"/>
    <w:rsid w:val="404313C6"/>
    <w:rsid w:val="406B07BF"/>
    <w:rsid w:val="406D6EC3"/>
    <w:rsid w:val="40815A60"/>
    <w:rsid w:val="408E7479"/>
    <w:rsid w:val="40B808FD"/>
    <w:rsid w:val="40E22E20"/>
    <w:rsid w:val="40FB48B2"/>
    <w:rsid w:val="415341A4"/>
    <w:rsid w:val="415D5CEE"/>
    <w:rsid w:val="417E237C"/>
    <w:rsid w:val="418E5F9D"/>
    <w:rsid w:val="41A37322"/>
    <w:rsid w:val="41D123CD"/>
    <w:rsid w:val="42074861"/>
    <w:rsid w:val="425B0637"/>
    <w:rsid w:val="42C73F4E"/>
    <w:rsid w:val="42EF7696"/>
    <w:rsid w:val="433F5964"/>
    <w:rsid w:val="43477353"/>
    <w:rsid w:val="437C65DC"/>
    <w:rsid w:val="43895548"/>
    <w:rsid w:val="43933349"/>
    <w:rsid w:val="43AD1DD0"/>
    <w:rsid w:val="43EB650E"/>
    <w:rsid w:val="43F76AAC"/>
    <w:rsid w:val="4417676E"/>
    <w:rsid w:val="44377CF3"/>
    <w:rsid w:val="443C5240"/>
    <w:rsid w:val="44653412"/>
    <w:rsid w:val="446750BD"/>
    <w:rsid w:val="44B914AE"/>
    <w:rsid w:val="44BB79D3"/>
    <w:rsid w:val="44C055E0"/>
    <w:rsid w:val="44CE0DCE"/>
    <w:rsid w:val="44DE7C4F"/>
    <w:rsid w:val="45130165"/>
    <w:rsid w:val="453647AA"/>
    <w:rsid w:val="455F4B7C"/>
    <w:rsid w:val="45635F1B"/>
    <w:rsid w:val="457F3DD7"/>
    <w:rsid w:val="4582592E"/>
    <w:rsid w:val="458F69F0"/>
    <w:rsid w:val="459E60F6"/>
    <w:rsid w:val="45D37460"/>
    <w:rsid w:val="460E5735"/>
    <w:rsid w:val="46196289"/>
    <w:rsid w:val="46202D62"/>
    <w:rsid w:val="46541FBE"/>
    <w:rsid w:val="46742047"/>
    <w:rsid w:val="46A1321B"/>
    <w:rsid w:val="46AA04FD"/>
    <w:rsid w:val="46B86C48"/>
    <w:rsid w:val="46BF081D"/>
    <w:rsid w:val="46D06EA9"/>
    <w:rsid w:val="46F459EC"/>
    <w:rsid w:val="47292D4D"/>
    <w:rsid w:val="473236C0"/>
    <w:rsid w:val="47350E8C"/>
    <w:rsid w:val="47392967"/>
    <w:rsid w:val="476F01EE"/>
    <w:rsid w:val="47E60E4F"/>
    <w:rsid w:val="48017A71"/>
    <w:rsid w:val="482B4106"/>
    <w:rsid w:val="48365107"/>
    <w:rsid w:val="48376B36"/>
    <w:rsid w:val="485E4470"/>
    <w:rsid w:val="48651E31"/>
    <w:rsid w:val="48B55B9D"/>
    <w:rsid w:val="492C2EBC"/>
    <w:rsid w:val="497C049B"/>
    <w:rsid w:val="49D438AE"/>
    <w:rsid w:val="49F96717"/>
    <w:rsid w:val="49FB156F"/>
    <w:rsid w:val="4A213685"/>
    <w:rsid w:val="4A8F69AE"/>
    <w:rsid w:val="4A9E4E53"/>
    <w:rsid w:val="4AAC366D"/>
    <w:rsid w:val="4AB87633"/>
    <w:rsid w:val="4ADB3767"/>
    <w:rsid w:val="4B322417"/>
    <w:rsid w:val="4B3B08B3"/>
    <w:rsid w:val="4B505006"/>
    <w:rsid w:val="4B524331"/>
    <w:rsid w:val="4B6068B8"/>
    <w:rsid w:val="4B640171"/>
    <w:rsid w:val="4B7E5B1F"/>
    <w:rsid w:val="4B980F44"/>
    <w:rsid w:val="4BD218E6"/>
    <w:rsid w:val="4C3618DB"/>
    <w:rsid w:val="4C4979BC"/>
    <w:rsid w:val="4C76404F"/>
    <w:rsid w:val="4C781CD3"/>
    <w:rsid w:val="4CBB10F3"/>
    <w:rsid w:val="4CBC6201"/>
    <w:rsid w:val="4D62461F"/>
    <w:rsid w:val="4D742AA0"/>
    <w:rsid w:val="4D893421"/>
    <w:rsid w:val="4D895920"/>
    <w:rsid w:val="4DA8658D"/>
    <w:rsid w:val="4DB21EB1"/>
    <w:rsid w:val="4DCB2178"/>
    <w:rsid w:val="4DDA0D36"/>
    <w:rsid w:val="4E0D453F"/>
    <w:rsid w:val="4E134859"/>
    <w:rsid w:val="4E2F2EE5"/>
    <w:rsid w:val="4E4B537E"/>
    <w:rsid w:val="4E6532B2"/>
    <w:rsid w:val="4EB86BA1"/>
    <w:rsid w:val="4EBB043F"/>
    <w:rsid w:val="4F06402F"/>
    <w:rsid w:val="4F112549"/>
    <w:rsid w:val="4F2064F4"/>
    <w:rsid w:val="4F260C78"/>
    <w:rsid w:val="4F2D6487"/>
    <w:rsid w:val="4F3A6545"/>
    <w:rsid w:val="4F4B4BEE"/>
    <w:rsid w:val="4F577540"/>
    <w:rsid w:val="4F6A5725"/>
    <w:rsid w:val="4F740D3B"/>
    <w:rsid w:val="4F823DD9"/>
    <w:rsid w:val="4FDC7366"/>
    <w:rsid w:val="4FFE043D"/>
    <w:rsid w:val="50104B02"/>
    <w:rsid w:val="502179C6"/>
    <w:rsid w:val="50413A07"/>
    <w:rsid w:val="50772BC7"/>
    <w:rsid w:val="50B10CF4"/>
    <w:rsid w:val="50EA1D96"/>
    <w:rsid w:val="50F3229B"/>
    <w:rsid w:val="515F53E9"/>
    <w:rsid w:val="519C56D6"/>
    <w:rsid w:val="51C87B26"/>
    <w:rsid w:val="51CD2EF4"/>
    <w:rsid w:val="523A0976"/>
    <w:rsid w:val="524338F2"/>
    <w:rsid w:val="524B1572"/>
    <w:rsid w:val="525D069E"/>
    <w:rsid w:val="526562D2"/>
    <w:rsid w:val="526A459D"/>
    <w:rsid w:val="526E235C"/>
    <w:rsid w:val="5271407E"/>
    <w:rsid w:val="52F77EAA"/>
    <w:rsid w:val="535D627D"/>
    <w:rsid w:val="5370634E"/>
    <w:rsid w:val="538A1522"/>
    <w:rsid w:val="53907462"/>
    <w:rsid w:val="539E3D91"/>
    <w:rsid w:val="53A82F50"/>
    <w:rsid w:val="53E55E8D"/>
    <w:rsid w:val="544669C3"/>
    <w:rsid w:val="545A0747"/>
    <w:rsid w:val="54606A7B"/>
    <w:rsid w:val="54844A3B"/>
    <w:rsid w:val="54AA699E"/>
    <w:rsid w:val="54AD25D8"/>
    <w:rsid w:val="54D327C5"/>
    <w:rsid w:val="54D55DAD"/>
    <w:rsid w:val="54DF3B0B"/>
    <w:rsid w:val="55144E68"/>
    <w:rsid w:val="55211420"/>
    <w:rsid w:val="55460ABF"/>
    <w:rsid w:val="55512C65"/>
    <w:rsid w:val="556841B1"/>
    <w:rsid w:val="55971AF7"/>
    <w:rsid w:val="55AC4899"/>
    <w:rsid w:val="55CB0787"/>
    <w:rsid w:val="55FC256A"/>
    <w:rsid w:val="55FC2EC5"/>
    <w:rsid w:val="563C3257"/>
    <w:rsid w:val="564D35D6"/>
    <w:rsid w:val="56663F34"/>
    <w:rsid w:val="56715FEE"/>
    <w:rsid w:val="567B1032"/>
    <w:rsid w:val="56A651FC"/>
    <w:rsid w:val="56AF458F"/>
    <w:rsid w:val="56C5008B"/>
    <w:rsid w:val="56DB28F3"/>
    <w:rsid w:val="56F2022C"/>
    <w:rsid w:val="57021FB7"/>
    <w:rsid w:val="57287039"/>
    <w:rsid w:val="575F19AC"/>
    <w:rsid w:val="579A6711"/>
    <w:rsid w:val="57B95737"/>
    <w:rsid w:val="58007257"/>
    <w:rsid w:val="582B5E2E"/>
    <w:rsid w:val="58301F79"/>
    <w:rsid w:val="58315F63"/>
    <w:rsid w:val="585D6986"/>
    <w:rsid w:val="585F7550"/>
    <w:rsid w:val="5868001A"/>
    <w:rsid w:val="588C1048"/>
    <w:rsid w:val="588F297B"/>
    <w:rsid w:val="58926DD7"/>
    <w:rsid w:val="58A70706"/>
    <w:rsid w:val="5912519E"/>
    <w:rsid w:val="5912752A"/>
    <w:rsid w:val="59276C63"/>
    <w:rsid w:val="595D7DAF"/>
    <w:rsid w:val="59614CA8"/>
    <w:rsid w:val="596470C9"/>
    <w:rsid w:val="59651092"/>
    <w:rsid w:val="59883A4B"/>
    <w:rsid w:val="59A13B39"/>
    <w:rsid w:val="59B17F15"/>
    <w:rsid w:val="59B20112"/>
    <w:rsid w:val="59C70146"/>
    <w:rsid w:val="59DE3233"/>
    <w:rsid w:val="59EC79CD"/>
    <w:rsid w:val="5A0554BD"/>
    <w:rsid w:val="5A0720DD"/>
    <w:rsid w:val="5A096472"/>
    <w:rsid w:val="5A1E6C66"/>
    <w:rsid w:val="5A260902"/>
    <w:rsid w:val="5A2A6470"/>
    <w:rsid w:val="5A3F37B2"/>
    <w:rsid w:val="5A5365AD"/>
    <w:rsid w:val="5A5438D2"/>
    <w:rsid w:val="5A6626C2"/>
    <w:rsid w:val="5AB056BB"/>
    <w:rsid w:val="5AB40868"/>
    <w:rsid w:val="5AD409FA"/>
    <w:rsid w:val="5AF02451"/>
    <w:rsid w:val="5B15042C"/>
    <w:rsid w:val="5B48790D"/>
    <w:rsid w:val="5B605979"/>
    <w:rsid w:val="5B71584F"/>
    <w:rsid w:val="5B87296F"/>
    <w:rsid w:val="5BA00AE1"/>
    <w:rsid w:val="5BAA02F6"/>
    <w:rsid w:val="5BAE2C66"/>
    <w:rsid w:val="5C04152B"/>
    <w:rsid w:val="5C107758"/>
    <w:rsid w:val="5C556851"/>
    <w:rsid w:val="5C7B7882"/>
    <w:rsid w:val="5C994848"/>
    <w:rsid w:val="5CA170EC"/>
    <w:rsid w:val="5CB141A2"/>
    <w:rsid w:val="5CC22F1B"/>
    <w:rsid w:val="5CF45AED"/>
    <w:rsid w:val="5CFF31EA"/>
    <w:rsid w:val="5D0C0B6A"/>
    <w:rsid w:val="5D4635C9"/>
    <w:rsid w:val="5D4E6EAC"/>
    <w:rsid w:val="5D5A30F0"/>
    <w:rsid w:val="5D933278"/>
    <w:rsid w:val="5DAD6977"/>
    <w:rsid w:val="5E447991"/>
    <w:rsid w:val="5E6E22D7"/>
    <w:rsid w:val="5E9A14D9"/>
    <w:rsid w:val="5EB33317"/>
    <w:rsid w:val="5EBB0590"/>
    <w:rsid w:val="5EDE62E4"/>
    <w:rsid w:val="5F3705E4"/>
    <w:rsid w:val="5F6B37BB"/>
    <w:rsid w:val="5F6D2189"/>
    <w:rsid w:val="5F6D6E95"/>
    <w:rsid w:val="5F6F2EDC"/>
    <w:rsid w:val="5FA16A73"/>
    <w:rsid w:val="60621ED2"/>
    <w:rsid w:val="6072040C"/>
    <w:rsid w:val="60913EE6"/>
    <w:rsid w:val="60E50F72"/>
    <w:rsid w:val="61173759"/>
    <w:rsid w:val="611D1F05"/>
    <w:rsid w:val="612663A2"/>
    <w:rsid w:val="612C072A"/>
    <w:rsid w:val="613E017C"/>
    <w:rsid w:val="616353F5"/>
    <w:rsid w:val="619160BC"/>
    <w:rsid w:val="61B42017"/>
    <w:rsid w:val="61B9586C"/>
    <w:rsid w:val="61DD1BE2"/>
    <w:rsid w:val="61FC3A6B"/>
    <w:rsid w:val="61FF6FF1"/>
    <w:rsid w:val="621B5FF2"/>
    <w:rsid w:val="6262059C"/>
    <w:rsid w:val="628B6F02"/>
    <w:rsid w:val="62AD29A7"/>
    <w:rsid w:val="63286E62"/>
    <w:rsid w:val="636B232C"/>
    <w:rsid w:val="63834ED3"/>
    <w:rsid w:val="63B867E3"/>
    <w:rsid w:val="63C01BA2"/>
    <w:rsid w:val="63D97D8A"/>
    <w:rsid w:val="63E34A64"/>
    <w:rsid w:val="642C15E7"/>
    <w:rsid w:val="643C0E4B"/>
    <w:rsid w:val="647B49B1"/>
    <w:rsid w:val="648A120A"/>
    <w:rsid w:val="64A42AC4"/>
    <w:rsid w:val="64CE35D0"/>
    <w:rsid w:val="64DB412B"/>
    <w:rsid w:val="652A33F5"/>
    <w:rsid w:val="652D361A"/>
    <w:rsid w:val="653E5EF7"/>
    <w:rsid w:val="65694D4A"/>
    <w:rsid w:val="657B4BAA"/>
    <w:rsid w:val="658D7A28"/>
    <w:rsid w:val="65942EA9"/>
    <w:rsid w:val="65B20EB7"/>
    <w:rsid w:val="65EC45F7"/>
    <w:rsid w:val="65EE0CA2"/>
    <w:rsid w:val="65EE7166"/>
    <w:rsid w:val="66083EA2"/>
    <w:rsid w:val="66372A2B"/>
    <w:rsid w:val="66695ABB"/>
    <w:rsid w:val="66723F50"/>
    <w:rsid w:val="669051F0"/>
    <w:rsid w:val="669B402F"/>
    <w:rsid w:val="66C848F5"/>
    <w:rsid w:val="66C93F6D"/>
    <w:rsid w:val="66E608B2"/>
    <w:rsid w:val="66FF0FDC"/>
    <w:rsid w:val="67050DCF"/>
    <w:rsid w:val="678C0773"/>
    <w:rsid w:val="68021A50"/>
    <w:rsid w:val="68937690"/>
    <w:rsid w:val="68A00371"/>
    <w:rsid w:val="68BA48BA"/>
    <w:rsid w:val="68BB430D"/>
    <w:rsid w:val="68D429FD"/>
    <w:rsid w:val="68DF6B1A"/>
    <w:rsid w:val="691526D0"/>
    <w:rsid w:val="696A2302"/>
    <w:rsid w:val="69EE0F28"/>
    <w:rsid w:val="6A24691C"/>
    <w:rsid w:val="6A3D40E5"/>
    <w:rsid w:val="6A7B495F"/>
    <w:rsid w:val="6A922C56"/>
    <w:rsid w:val="6A9C6F1F"/>
    <w:rsid w:val="6AFE0A74"/>
    <w:rsid w:val="6B132A01"/>
    <w:rsid w:val="6B594CCB"/>
    <w:rsid w:val="6B79611A"/>
    <w:rsid w:val="6B902DAA"/>
    <w:rsid w:val="6C051B45"/>
    <w:rsid w:val="6C1D0284"/>
    <w:rsid w:val="6C240D5A"/>
    <w:rsid w:val="6C346147"/>
    <w:rsid w:val="6C655661"/>
    <w:rsid w:val="6CA572BA"/>
    <w:rsid w:val="6CDE73AA"/>
    <w:rsid w:val="6CFD1468"/>
    <w:rsid w:val="6D0E5710"/>
    <w:rsid w:val="6D1D556C"/>
    <w:rsid w:val="6D2B4C86"/>
    <w:rsid w:val="6D903FE1"/>
    <w:rsid w:val="6D970274"/>
    <w:rsid w:val="6DAD3BE2"/>
    <w:rsid w:val="6DDB28C7"/>
    <w:rsid w:val="6DDF43F5"/>
    <w:rsid w:val="6E1C52AA"/>
    <w:rsid w:val="6E3F58C0"/>
    <w:rsid w:val="6E5222C8"/>
    <w:rsid w:val="6E671430"/>
    <w:rsid w:val="6E883200"/>
    <w:rsid w:val="6E890C2D"/>
    <w:rsid w:val="6EB00A0E"/>
    <w:rsid w:val="6ECB6C27"/>
    <w:rsid w:val="6EDF5EA1"/>
    <w:rsid w:val="6EE3547F"/>
    <w:rsid w:val="6F014EF7"/>
    <w:rsid w:val="6F241333"/>
    <w:rsid w:val="6F2D45E9"/>
    <w:rsid w:val="6F2F3187"/>
    <w:rsid w:val="6FB75646"/>
    <w:rsid w:val="6FCD32C7"/>
    <w:rsid w:val="70277311"/>
    <w:rsid w:val="702A1E44"/>
    <w:rsid w:val="70713F53"/>
    <w:rsid w:val="70A46715"/>
    <w:rsid w:val="70B25771"/>
    <w:rsid w:val="70B30B1E"/>
    <w:rsid w:val="70C44A43"/>
    <w:rsid w:val="70DA254F"/>
    <w:rsid w:val="70DC3DF3"/>
    <w:rsid w:val="70E4068F"/>
    <w:rsid w:val="71060A7F"/>
    <w:rsid w:val="71075DD8"/>
    <w:rsid w:val="71213CDA"/>
    <w:rsid w:val="714031CF"/>
    <w:rsid w:val="71AA0173"/>
    <w:rsid w:val="72192A4E"/>
    <w:rsid w:val="727A61E5"/>
    <w:rsid w:val="72AA18CE"/>
    <w:rsid w:val="72AE690D"/>
    <w:rsid w:val="72E029CE"/>
    <w:rsid w:val="731765CE"/>
    <w:rsid w:val="731B372C"/>
    <w:rsid w:val="73303587"/>
    <w:rsid w:val="735760D9"/>
    <w:rsid w:val="739A5FC5"/>
    <w:rsid w:val="73CD4477"/>
    <w:rsid w:val="740238DF"/>
    <w:rsid w:val="740C2496"/>
    <w:rsid w:val="74316007"/>
    <w:rsid w:val="745820F0"/>
    <w:rsid w:val="751D61D4"/>
    <w:rsid w:val="75207CF3"/>
    <w:rsid w:val="757860FC"/>
    <w:rsid w:val="75B441C4"/>
    <w:rsid w:val="765544B9"/>
    <w:rsid w:val="769573A5"/>
    <w:rsid w:val="76B3366A"/>
    <w:rsid w:val="76D65566"/>
    <w:rsid w:val="76FE61E0"/>
    <w:rsid w:val="771858D9"/>
    <w:rsid w:val="7737462D"/>
    <w:rsid w:val="77C00B5B"/>
    <w:rsid w:val="77C95289"/>
    <w:rsid w:val="77E11EB4"/>
    <w:rsid w:val="77F913B7"/>
    <w:rsid w:val="78180A37"/>
    <w:rsid w:val="784E426F"/>
    <w:rsid w:val="787D213D"/>
    <w:rsid w:val="788F0CE8"/>
    <w:rsid w:val="79084E25"/>
    <w:rsid w:val="790B11CB"/>
    <w:rsid w:val="792417A2"/>
    <w:rsid w:val="79A757A5"/>
    <w:rsid w:val="79BE4D3D"/>
    <w:rsid w:val="79DD1DB5"/>
    <w:rsid w:val="79F07CCB"/>
    <w:rsid w:val="79FE5549"/>
    <w:rsid w:val="7A435F89"/>
    <w:rsid w:val="7A507DA7"/>
    <w:rsid w:val="7A8D0438"/>
    <w:rsid w:val="7A9479AC"/>
    <w:rsid w:val="7AAA73AE"/>
    <w:rsid w:val="7AFE02C2"/>
    <w:rsid w:val="7B5353D8"/>
    <w:rsid w:val="7B77152C"/>
    <w:rsid w:val="7B7A48BA"/>
    <w:rsid w:val="7BBC52EC"/>
    <w:rsid w:val="7BCD38C8"/>
    <w:rsid w:val="7BD0067D"/>
    <w:rsid w:val="7BE42B51"/>
    <w:rsid w:val="7BE97AEA"/>
    <w:rsid w:val="7BEE534A"/>
    <w:rsid w:val="7C4E0A3E"/>
    <w:rsid w:val="7C857F58"/>
    <w:rsid w:val="7CAF663E"/>
    <w:rsid w:val="7D172675"/>
    <w:rsid w:val="7D2D1605"/>
    <w:rsid w:val="7D4506A3"/>
    <w:rsid w:val="7D7F51E6"/>
    <w:rsid w:val="7DDC61C6"/>
    <w:rsid w:val="7DFF610B"/>
    <w:rsid w:val="7E005A92"/>
    <w:rsid w:val="7E174FBD"/>
    <w:rsid w:val="7E5B16C3"/>
    <w:rsid w:val="7EB32594"/>
    <w:rsid w:val="7ED46E77"/>
    <w:rsid w:val="7ED61BA0"/>
    <w:rsid w:val="7F3E4E36"/>
    <w:rsid w:val="7F461A37"/>
    <w:rsid w:val="7F5C6600"/>
    <w:rsid w:val="7F8A2560"/>
    <w:rsid w:val="7FCD343C"/>
    <w:rsid w:val="7FFB5C11"/>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b/>
      <w:bCs/>
      <w:kern w:val="44"/>
      <w:sz w:val="48"/>
      <w:szCs w:val="48"/>
    </w:rPr>
  </w:style>
  <w:style w:type="paragraph" w:styleId="3">
    <w:name w:val="heading 2"/>
    <w:basedOn w:val="1"/>
    <w:next w:val="1"/>
    <w:unhideWhenUsed/>
    <w:qFormat/>
    <w:uiPriority w:val="0"/>
    <w:pPr>
      <w:spacing w:before="100" w:beforeAutospacing="1" w:after="100" w:afterAutospacing="1"/>
      <w:jc w:val="left"/>
      <w:outlineLvl w:val="1"/>
    </w:pPr>
    <w:rPr>
      <w:rFonts w:hint="eastAsia" w:ascii="宋体" w:hAnsi="宋体"/>
      <w:b/>
      <w:bCs/>
      <w:kern w:val="0"/>
      <w:sz w:val="36"/>
      <w:szCs w:val="36"/>
    </w:rPr>
  </w:style>
  <w:style w:type="paragraph" w:styleId="4">
    <w:name w:val="heading 3"/>
    <w:basedOn w:val="1"/>
    <w:next w:val="1"/>
    <w:unhideWhenUsed/>
    <w:qFormat/>
    <w:uiPriority w:val="0"/>
    <w:pPr>
      <w:spacing w:before="100" w:beforeAutospacing="1" w:after="100" w:afterAutospacing="1"/>
      <w:jc w:val="left"/>
      <w:outlineLvl w:val="2"/>
    </w:pPr>
    <w:rPr>
      <w:rFonts w:hint="eastAsia" w:ascii="宋体" w:hAnsi="宋体"/>
      <w:b/>
      <w:kern w:val="0"/>
      <w:sz w:val="27"/>
      <w:szCs w:val="27"/>
    </w:rPr>
  </w:style>
  <w:style w:type="paragraph" w:styleId="5">
    <w:name w:val="heading 4"/>
    <w:basedOn w:val="1"/>
    <w:next w:val="1"/>
    <w:unhideWhenUsed/>
    <w:qFormat/>
    <w:uiPriority w:val="0"/>
    <w:pPr>
      <w:keepNext/>
      <w:keepLines/>
      <w:spacing w:line="372" w:lineRule="auto"/>
      <w:outlineLvl w:val="3"/>
    </w:pPr>
    <w:rPr>
      <w:rFonts w:ascii="Arial" w:hAnsi="Arial" w:eastAsia="黑体"/>
      <w:b/>
      <w:sz w:val="28"/>
    </w:rPr>
  </w:style>
  <w:style w:type="paragraph" w:styleId="6">
    <w:name w:val="heading 5"/>
    <w:basedOn w:val="1"/>
    <w:next w:val="1"/>
    <w:unhideWhenUsed/>
    <w:qFormat/>
    <w:uiPriority w:val="0"/>
    <w:pPr>
      <w:keepNext/>
      <w:keepLines/>
      <w:spacing w:line="372" w:lineRule="auto"/>
      <w:outlineLvl w:val="4"/>
    </w:pPr>
    <w:rPr>
      <w:b/>
      <w:sz w:val="28"/>
    </w:rPr>
  </w:style>
  <w:style w:type="character" w:default="1" w:styleId="20">
    <w:name w:val="Default Paragraph Font"/>
    <w:unhideWhenUsed/>
    <w:uiPriority w:val="1"/>
  </w:style>
  <w:style w:type="table" w:default="1" w:styleId="25">
    <w:name w:val="Normal Table"/>
    <w:unhideWhenUsed/>
    <w:qFormat/>
    <w:uiPriority w:val="99"/>
    <w:tblPr>
      <w:tblLayout w:type="fixed"/>
      <w:tblCellMar>
        <w:top w:w="0" w:type="dxa"/>
        <w:left w:w="108" w:type="dxa"/>
        <w:bottom w:w="0" w:type="dxa"/>
        <w:right w:w="108" w:type="dxa"/>
      </w:tblCellMar>
    </w:tblPr>
  </w:style>
  <w:style w:type="paragraph" w:styleId="7">
    <w:name w:val="Normal Indent"/>
    <w:basedOn w:val="1"/>
    <w:next w:val="1"/>
    <w:qFormat/>
    <w:uiPriority w:val="0"/>
    <w:pPr>
      <w:adjustRightInd w:val="0"/>
      <w:jc w:val="left"/>
    </w:pPr>
    <w:rPr>
      <w:spacing w:val="-25"/>
    </w:rPr>
  </w:style>
  <w:style w:type="paragraph" w:styleId="8">
    <w:name w:val="annotation text"/>
    <w:basedOn w:val="1"/>
    <w:qFormat/>
    <w:uiPriority w:val="0"/>
    <w:pPr>
      <w:jc w:val="left"/>
    </w:pPr>
  </w:style>
  <w:style w:type="paragraph" w:styleId="9">
    <w:name w:val="Body Text Indent"/>
    <w:basedOn w:val="1"/>
    <w:qFormat/>
    <w:uiPriority w:val="0"/>
    <w:pPr>
      <w:ind w:left="420" w:leftChars="200"/>
    </w:pPr>
  </w:style>
  <w:style w:type="paragraph" w:styleId="10">
    <w:name w:val="toc 5"/>
    <w:basedOn w:val="1"/>
    <w:next w:val="1"/>
    <w:qFormat/>
    <w:uiPriority w:val="0"/>
    <w:pPr>
      <w:ind w:left="1680" w:leftChars="800"/>
    </w:pPr>
  </w:style>
  <w:style w:type="paragraph" w:styleId="11">
    <w:name w:val="toc 3"/>
    <w:basedOn w:val="1"/>
    <w:next w:val="1"/>
    <w:qFormat/>
    <w:uiPriority w:val="0"/>
    <w:pPr>
      <w:ind w:left="840" w:leftChars="400"/>
    </w:pPr>
  </w:style>
  <w:style w:type="paragraph" w:styleId="12">
    <w:name w:val="Balloon Text"/>
    <w:basedOn w:val="1"/>
    <w:link w:val="31"/>
    <w:qFormat/>
    <w:uiPriority w:val="0"/>
    <w:rPr>
      <w:sz w:val="18"/>
      <w:szCs w:val="18"/>
    </w:rPr>
  </w:style>
  <w:style w:type="paragraph" w:styleId="13">
    <w:name w:val="footer"/>
    <w:basedOn w:val="1"/>
    <w:link w:val="30"/>
    <w:qFormat/>
    <w:uiPriority w:val="99"/>
    <w:pPr>
      <w:tabs>
        <w:tab w:val="center" w:pos="4153"/>
        <w:tab w:val="right" w:pos="8306"/>
      </w:tabs>
      <w:snapToGrid w:val="0"/>
      <w:jc w:val="left"/>
    </w:pPr>
    <w:rPr>
      <w:sz w:val="18"/>
    </w:rPr>
  </w:style>
  <w:style w:type="paragraph" w:styleId="14">
    <w:name w:val="Body Text First Indent 2"/>
    <w:basedOn w:val="9"/>
    <w:qFormat/>
    <w:uiPriority w:val="0"/>
    <w:pPr>
      <w:ind w:firstLine="420" w:firstLineChars="200"/>
    </w:p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qFormat/>
    <w:uiPriority w:val="0"/>
  </w:style>
  <w:style w:type="paragraph" w:styleId="17">
    <w:name w:val="toc 4"/>
    <w:basedOn w:val="1"/>
    <w:next w:val="1"/>
    <w:qFormat/>
    <w:uiPriority w:val="0"/>
    <w:pPr>
      <w:ind w:left="1260" w:leftChars="600"/>
    </w:pPr>
  </w:style>
  <w:style w:type="paragraph" w:styleId="18">
    <w:name w:val="toc 2"/>
    <w:basedOn w:val="1"/>
    <w:next w:val="1"/>
    <w:qFormat/>
    <w:uiPriority w:val="0"/>
    <w:pPr>
      <w:ind w:left="420" w:leftChars="200"/>
    </w:pPr>
  </w:style>
  <w:style w:type="paragraph" w:styleId="19">
    <w:name w:val="Normal (Web)"/>
    <w:basedOn w:val="1"/>
    <w:qFormat/>
    <w:uiPriority w:val="0"/>
    <w:pPr>
      <w:spacing w:before="100" w:beforeAutospacing="1" w:after="100" w:afterAutospacing="1"/>
      <w:jc w:val="left"/>
    </w:pPr>
    <w:rPr>
      <w:kern w:val="0"/>
      <w:sz w:val="24"/>
    </w:rPr>
  </w:style>
  <w:style w:type="character" w:styleId="21">
    <w:name w:val="Strong"/>
    <w:basedOn w:val="20"/>
    <w:qFormat/>
    <w:uiPriority w:val="0"/>
    <w:rPr>
      <w:b/>
    </w:rPr>
  </w:style>
  <w:style w:type="character" w:styleId="22">
    <w:name w:val="FollowedHyperlink"/>
    <w:basedOn w:val="20"/>
    <w:qFormat/>
    <w:uiPriority w:val="0"/>
    <w:rPr>
      <w:color w:val="005C81"/>
      <w:u w:val="none"/>
    </w:rPr>
  </w:style>
  <w:style w:type="character" w:styleId="23">
    <w:name w:val="Emphasis"/>
    <w:basedOn w:val="20"/>
    <w:qFormat/>
    <w:uiPriority w:val="0"/>
  </w:style>
  <w:style w:type="character" w:styleId="24">
    <w:name w:val="Hyperlink"/>
    <w:basedOn w:val="20"/>
    <w:qFormat/>
    <w:uiPriority w:val="0"/>
    <w:rPr>
      <w:color w:val="005C81"/>
      <w:u w:val="none"/>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27">
    <w:name w:val="p15"/>
    <w:basedOn w:val="1"/>
    <w:qFormat/>
    <w:uiPriority w:val="0"/>
    <w:pPr>
      <w:widowControl/>
      <w:spacing w:before="100" w:after="100"/>
      <w:jc w:val="left"/>
    </w:pPr>
    <w:rPr>
      <w:rFonts w:ascii="宋体" w:hAnsi="宋体"/>
      <w:kern w:val="0"/>
      <w:sz w:val="24"/>
    </w:rPr>
  </w:style>
  <w:style w:type="paragraph" w:customStyle="1" w:styleId="28">
    <w:name w:val="列出段落1"/>
    <w:basedOn w:val="1"/>
    <w:qFormat/>
    <w:uiPriority w:val="0"/>
    <w:rPr>
      <w:rFonts w:ascii="Times New Roman" w:hAnsi="Times New Roman"/>
    </w:rPr>
  </w:style>
  <w:style w:type="paragraph" w:customStyle="1" w:styleId="29">
    <w:name w:val="Default"/>
    <w:unhideWhenUsed/>
    <w:qFormat/>
    <w:uiPriority w:val="99"/>
    <w:pPr>
      <w:widowControl w:val="0"/>
      <w:autoSpaceDE w:val="0"/>
      <w:autoSpaceDN w:val="0"/>
      <w:adjustRightInd w:val="0"/>
    </w:pPr>
    <w:rPr>
      <w:rFonts w:hint="eastAsia" w:ascii="微软雅黑" w:hAnsi="微软雅黑" w:eastAsia="微软雅黑" w:cs="Times New Roman"/>
      <w:color w:val="000000"/>
      <w:sz w:val="24"/>
      <w:szCs w:val="24"/>
      <w:lang w:val="en-US" w:eastAsia="zh-CN" w:bidi="ar-SA"/>
    </w:rPr>
  </w:style>
  <w:style w:type="character" w:customStyle="1" w:styleId="30">
    <w:name w:val="页脚 Char"/>
    <w:basedOn w:val="20"/>
    <w:link w:val="13"/>
    <w:qFormat/>
    <w:uiPriority w:val="99"/>
    <w:rPr>
      <w:rFonts w:ascii="Calibri" w:hAnsi="Calibri"/>
      <w:kern w:val="2"/>
      <w:sz w:val="18"/>
      <w:szCs w:val="24"/>
    </w:rPr>
  </w:style>
  <w:style w:type="character" w:customStyle="1" w:styleId="31">
    <w:name w:val="批注框文本 Char"/>
    <w:basedOn w:val="20"/>
    <w:link w:val="1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Kingsoft</Company>
  <Pages>7</Pages>
  <Words>474</Words>
  <Characters>2707</Characters>
  <Lines>22</Lines>
  <Paragraphs>6</Paragraphs>
  <ScaleCrop>false</ScaleCrop>
  <LinksUpToDate>false</LinksUpToDate>
  <CharactersWithSpaces>3175</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ZLQ</dc:creator>
  <cp:lastModifiedBy>DELL</cp:lastModifiedBy>
  <cp:lastPrinted>2023-08-23T01:10:00Z</cp:lastPrinted>
  <dcterms:modified xsi:type="dcterms:W3CDTF">2024-08-22T06:16:07Z</dcterms:modified>
  <dc:title>附件2.</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A8A2AB2949644BA682BE31C194B18AB9_13</vt:lpwstr>
  </property>
</Properties>
</file>