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Style w:val="6"/>
          <w:rFonts w:ascii="方正仿宋_GBK" w:hAnsi="微软雅黑" w:eastAsia="方正仿宋_GBK"/>
          <w:color w:val="333333"/>
          <w:sz w:val="32"/>
          <w:szCs w:val="32"/>
        </w:rPr>
      </w:pPr>
    </w:p>
    <w:p>
      <w:pPr>
        <w:spacing w:line="560" w:lineRule="exact"/>
        <w:jc w:val="center"/>
        <w:rPr>
          <w:rStyle w:val="6"/>
          <w:rFonts w:ascii="方正小标宋_GBK" w:hAnsi="微软雅黑" w:eastAsia="方正小标宋_GBK"/>
          <w:b w:val="0"/>
          <w:color w:val="333333"/>
          <w:sz w:val="44"/>
          <w:szCs w:val="44"/>
        </w:rPr>
      </w:pPr>
      <w:r>
        <w:rPr>
          <w:rStyle w:val="6"/>
          <w:rFonts w:hint="eastAsia" w:ascii="方正小标宋_GBK" w:hAnsi="微软雅黑" w:eastAsia="方正小标宋_GBK"/>
          <w:b w:val="0"/>
          <w:color w:val="333333"/>
          <w:sz w:val="44"/>
          <w:szCs w:val="44"/>
          <w:lang w:eastAsia="zh-CN"/>
        </w:rPr>
        <w:t>《</w:t>
      </w:r>
      <w:r>
        <w:rPr>
          <w:rStyle w:val="6"/>
          <w:rFonts w:hint="eastAsia" w:ascii="方正小标宋_GBK" w:hAnsi="微软雅黑" w:eastAsia="方正小标宋_GBK"/>
          <w:b w:val="0"/>
          <w:color w:val="333333"/>
          <w:sz w:val="44"/>
          <w:szCs w:val="44"/>
        </w:rPr>
        <w:t>江苏省体育赛事活动赛风赛纪管理实施细则（征求意见稿）</w:t>
      </w:r>
      <w:r>
        <w:rPr>
          <w:rStyle w:val="6"/>
          <w:rFonts w:hint="eastAsia" w:ascii="方正小标宋_GBK" w:hAnsi="微软雅黑" w:eastAsia="方正小标宋_GBK"/>
          <w:b w:val="0"/>
          <w:color w:val="333333"/>
          <w:sz w:val="44"/>
          <w:szCs w:val="44"/>
          <w:lang w:eastAsia="zh-CN"/>
        </w:rPr>
        <w:t>》</w:t>
      </w:r>
      <w:r>
        <w:rPr>
          <w:rStyle w:val="6"/>
          <w:rFonts w:hint="eastAsia" w:ascii="方正小标宋_GBK" w:hAnsi="微软雅黑" w:eastAsia="方正小标宋_GBK"/>
          <w:b w:val="0"/>
          <w:color w:val="333333"/>
          <w:sz w:val="44"/>
          <w:szCs w:val="44"/>
        </w:rPr>
        <w:t>起草说明</w:t>
      </w:r>
    </w:p>
    <w:p>
      <w:pPr>
        <w:spacing w:line="560" w:lineRule="exact"/>
        <w:rPr>
          <w:rFonts w:ascii="方正小标宋_GBK" w:eastAsia="方正小标宋_GBK"/>
          <w:b/>
          <w:sz w:val="44"/>
          <w:szCs w:val="44"/>
        </w:rPr>
      </w:pP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为进一步规范全省体育赛事活动赛风赛纪管理，维护公平竞争的比赛环境，推进体育赛事活动健康有序发展，省体育局研究起草了《江苏省体育赛事活动赛风赛纪管理实施细则（征求意见稿）》（以下简称《实施细则》）。</w:t>
      </w:r>
    </w:p>
    <w:p>
      <w:pPr>
        <w:spacing w:line="560" w:lineRule="exact"/>
        <w:ind w:firstLine="640" w:firstLineChars="200"/>
        <w:rPr>
          <w:rFonts w:ascii="方正黑体_GBK" w:eastAsia="方正黑体_GBK"/>
          <w:b/>
          <w:sz w:val="32"/>
          <w:szCs w:val="32"/>
        </w:rPr>
      </w:pPr>
      <w:r>
        <w:rPr>
          <w:rStyle w:val="6"/>
          <w:rFonts w:hint="eastAsia" w:ascii="方正黑体_GBK" w:hAnsi="微软雅黑" w:eastAsia="方正黑体_GBK"/>
          <w:b w:val="0"/>
          <w:color w:val="333333"/>
          <w:sz w:val="32"/>
          <w:szCs w:val="32"/>
        </w:rPr>
        <w:t>一、起草的背景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2024年4月，国家体育总局正式发布了《体育赛事活动赛风赛纪管理办法》（以下简称《办法》），自2024年7月1日起施行。《办法》的发布是落实全面从严治党、加强体育赛事活动赛风赛纪管理的重要举措，对推进体育赛事活动健康有序发展具有重要意义。2024年10月，省体育局启动了《实施细则》起草工作。</w:t>
      </w:r>
    </w:p>
    <w:p>
      <w:pPr>
        <w:spacing w:line="560" w:lineRule="exact"/>
        <w:ind w:firstLine="640" w:firstLineChars="200"/>
        <w:rPr>
          <w:rStyle w:val="6"/>
          <w:rFonts w:ascii="方正黑体_GBK" w:hAnsi="微软雅黑" w:eastAsia="方正黑体_GBK"/>
          <w:color w:val="333333"/>
        </w:rPr>
      </w:pPr>
      <w:r>
        <w:rPr>
          <w:rStyle w:val="6"/>
          <w:rFonts w:hint="eastAsia" w:ascii="方正黑体_GBK" w:hAnsi="微软雅黑" w:eastAsia="方正黑体_GBK"/>
          <w:b w:val="0"/>
          <w:color w:val="333333"/>
          <w:sz w:val="32"/>
          <w:szCs w:val="32"/>
        </w:rPr>
        <w:t>二、主要思路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《实施细则》旨在规范全省体育赛事活动赛风赛纪全过程监管。一是压实主体责任。明确各体育赛事活动管理单位和赛事活动组织者管理职责，构建“各司其职、上下联动、齐抓共管”的管理体系。二是加强宣传教育。通过强化教育引导，提高参与者法纪意识、诚信意识、规则意识，从思想根源上防范问题隐患。三是明确违规类型。列举赛风赛纪违规情形，形成“负面清单”，划定“红线”“高压线”。四是加大惩处力度。规范违规查处的主体和程序，明确惩处措施，不仅惩处违规运动员、教练员等，还面向相应的管理单位和管理者采取相应处理措施。</w:t>
      </w:r>
    </w:p>
    <w:p>
      <w:pPr>
        <w:spacing w:line="560" w:lineRule="exact"/>
        <w:ind w:firstLine="640" w:firstLineChars="200"/>
        <w:rPr>
          <w:rStyle w:val="6"/>
          <w:rFonts w:ascii="方正黑体_GBK" w:hAnsi="微软雅黑" w:eastAsia="方正黑体_GBK"/>
          <w:color w:val="333333"/>
        </w:rPr>
      </w:pPr>
      <w:r>
        <w:rPr>
          <w:rStyle w:val="6"/>
          <w:rFonts w:hint="eastAsia" w:ascii="方正黑体_GBK" w:hAnsi="微软雅黑" w:eastAsia="方正黑体_GBK"/>
          <w:b w:val="0"/>
          <w:color w:val="333333"/>
          <w:sz w:val="32"/>
          <w:szCs w:val="32"/>
        </w:rPr>
        <w:t>三、主要内容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《实施细则》共六章四十二条，包含了六个部分，具体内容如下：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第一章总则，明确了概念定义、适用范围、基本原则等。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第二章管理职责，明确了各级各类主体在赛风赛纪管理监督工作中的职责和任务。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第三章宣传教育，要求通过各级各类主体采取多种形式开展赛风赛纪宣传教育，建立赛风赛纪教育准入制度。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第四章违规行为，列举了赛风赛纪违规情形，细化了管理机制和调查主体。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第五章违规处理，明确了对各级各类主体的惩处措施，使管理工作有规可依，惩处对象更加精准。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第六章附则，要求相关单位制定实施细则，明确解释权归属和实施日期。</w:t>
      </w:r>
      <w:bookmarkStart w:id="0" w:name="_GoBack"/>
      <w:bookmarkEnd w:id="0"/>
    </w:p>
    <w:sectPr>
      <w:pgSz w:w="11906" w:h="16838"/>
      <w:pgMar w:top="1985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0744"/>
    <w:rsid w:val="00067CB7"/>
    <w:rsid w:val="00072831"/>
    <w:rsid w:val="00094092"/>
    <w:rsid w:val="001934AF"/>
    <w:rsid w:val="002B3DB1"/>
    <w:rsid w:val="003276DF"/>
    <w:rsid w:val="0033232D"/>
    <w:rsid w:val="00465FDC"/>
    <w:rsid w:val="00597ABA"/>
    <w:rsid w:val="006C0481"/>
    <w:rsid w:val="008A544D"/>
    <w:rsid w:val="00947B79"/>
    <w:rsid w:val="00AD4BEC"/>
    <w:rsid w:val="00C07F1B"/>
    <w:rsid w:val="00C31C97"/>
    <w:rsid w:val="00D127B8"/>
    <w:rsid w:val="00D80744"/>
    <w:rsid w:val="00DC4D2C"/>
    <w:rsid w:val="00DD5CE4"/>
    <w:rsid w:val="00E040D1"/>
    <w:rsid w:val="00E6231F"/>
    <w:rsid w:val="2E465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22"/>
    <w:rPr>
      <w:b/>
      <w:bCs/>
    </w:rPr>
  </w:style>
  <w:style w:type="character" w:customStyle="1" w:styleId="8">
    <w:name w:val="页眉 Char"/>
    <w:basedOn w:val="5"/>
    <w:link w:val="3"/>
    <w:uiPriority w:val="99"/>
    <w:rPr>
      <w:sz w:val="18"/>
      <w:szCs w:val="18"/>
    </w:rPr>
  </w:style>
  <w:style w:type="character" w:customStyle="1" w:styleId="9">
    <w:name w:val="页脚 Char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126</Words>
  <Characters>719</Characters>
  <Lines>5</Lines>
  <Paragraphs>1</Paragraphs>
  <TotalTime>0</TotalTime>
  <ScaleCrop>false</ScaleCrop>
  <LinksUpToDate>false</LinksUpToDate>
  <CharactersWithSpaces>844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2024-12-24T05:43:00Z</dcterms:created>
  <dc:creator>丁昌松(dingchangsong)</dc:creator>
  <cp:lastModifiedBy>admin</cp:lastModifiedBy>
  <dcterms:modified xsi:type="dcterms:W3CDTF">2024-12-26T01:39:22Z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