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left="-147" w:right="-147"/>
        <w:jc w:val="center"/>
        <w:rPr>
          <w:rFonts w:ascii="方正小标宋_GBK" w:eastAsia="方正小标宋_GBK"/>
          <w:sz w:val="44"/>
          <w:szCs w:val="44"/>
        </w:rPr>
      </w:pPr>
      <w:r>
        <w:rPr>
          <w:rFonts w:ascii="方正小标宋_GBK" w:eastAsia="方正小标宋_GBK"/>
          <w:sz w:val="44"/>
          <w:szCs w:val="44"/>
        </w:rPr>
        <w:t>关于深化</w:t>
      </w:r>
      <w:r>
        <w:rPr>
          <w:rFonts w:hint="eastAsia" w:ascii="方正小标宋_GBK" w:eastAsia="方正小标宋_GBK"/>
          <w:sz w:val="44"/>
          <w:szCs w:val="44"/>
        </w:rPr>
        <w:t>我省</w:t>
      </w:r>
      <w:r>
        <w:rPr>
          <w:rFonts w:ascii="方正小标宋_GBK" w:eastAsia="方正小标宋_GBK"/>
          <w:sz w:val="44"/>
          <w:szCs w:val="44"/>
        </w:rPr>
        <w:t>房屋建筑和市政基础设施</w:t>
      </w:r>
    </w:p>
    <w:p>
      <w:pPr>
        <w:widowControl/>
        <w:ind w:left="-147" w:right="-147"/>
        <w:jc w:val="center"/>
        <w:rPr>
          <w:rFonts w:ascii="方正小标宋_GBK" w:eastAsia="方正小标宋_GBK"/>
          <w:sz w:val="44"/>
          <w:szCs w:val="44"/>
        </w:rPr>
      </w:pPr>
      <w:r>
        <w:rPr>
          <w:rFonts w:ascii="方正小标宋_GBK" w:eastAsia="方正小标宋_GBK"/>
          <w:sz w:val="44"/>
          <w:szCs w:val="44"/>
        </w:rPr>
        <w:t>工程招标投标改革的</w:t>
      </w:r>
      <w:r>
        <w:rPr>
          <w:rFonts w:hint="eastAsia" w:ascii="方正小标宋_GBK" w:eastAsia="方正小标宋_GBK"/>
          <w:sz w:val="44"/>
          <w:szCs w:val="44"/>
        </w:rPr>
        <w:t>通知</w:t>
      </w:r>
      <w:r>
        <w:rPr>
          <w:rFonts w:hint="eastAsia" w:ascii="方正小标宋_GBK" w:eastAsia="方正小标宋_GBK"/>
          <w:sz w:val="44"/>
          <w:szCs w:val="44"/>
          <w:lang w:eastAsia="zh-CN"/>
        </w:rPr>
        <w:t>（征求意见稿</w:t>
      </w:r>
      <w:bookmarkStart w:id="0" w:name="_GoBack"/>
      <w:bookmarkEnd w:id="0"/>
      <w:r>
        <w:rPr>
          <w:rFonts w:hint="eastAsia" w:ascii="方正小标宋_GBK" w:eastAsia="方正小标宋_GBK"/>
          <w:sz w:val="44"/>
          <w:szCs w:val="44"/>
          <w:lang w:eastAsia="zh-CN"/>
        </w:rPr>
        <w:t>）</w:t>
      </w:r>
      <w:r>
        <w:rPr>
          <w:rFonts w:hint="eastAsia" w:ascii="方正小标宋_GBK" w:eastAsia="方正小标宋_GBK"/>
          <w:sz w:val="44"/>
          <w:szCs w:val="44"/>
        </w:rPr>
        <w:tab/>
      </w:r>
    </w:p>
    <w:p>
      <w:pPr>
        <w:spacing w:line="580" w:lineRule="exact"/>
        <w:rPr>
          <w:rFonts w:ascii="方正仿宋_GBK" w:hAnsi="仿宋_GB2312" w:eastAsia="方正仿宋_GBK" w:cs="仿宋_GB2312"/>
          <w:sz w:val="32"/>
        </w:rPr>
      </w:pPr>
      <w:r>
        <w:rPr>
          <w:rFonts w:hint="eastAsia" w:ascii="方正仿宋_GBK" w:hAnsi="仿宋_GB2312" w:eastAsia="方正仿宋_GBK" w:cs="仿宋_GB2312"/>
          <w:sz w:val="32"/>
        </w:rPr>
        <w:t>各设区市、县（市）住房城乡建设局（建委）：</w:t>
      </w:r>
    </w:p>
    <w:p>
      <w:pPr>
        <w:spacing w:line="580" w:lineRule="exact"/>
        <w:ind w:firstLine="704" w:firstLineChars="220"/>
        <w:rPr>
          <w:rFonts w:ascii="方正仿宋_GBK" w:eastAsia="方正仿宋_GBK"/>
          <w:b/>
          <w:sz w:val="32"/>
          <w:szCs w:val="32"/>
        </w:rPr>
      </w:pPr>
      <w:r>
        <w:rPr>
          <w:rFonts w:hint="eastAsia" w:ascii="方正仿宋_GBK" w:hAnsi="仿宋_GB2312" w:eastAsia="方正仿宋_GBK" w:cs="仿宋_GB2312"/>
          <w:sz w:val="32"/>
        </w:rPr>
        <w:t>根据《江苏省国有资金投资工程建设项目招标投标管理办法》（江苏省人民政府令第120号）,</w:t>
      </w:r>
      <w:r>
        <w:rPr>
          <w:rFonts w:hint="eastAsia" w:ascii="方正仿宋_GBK" w:eastAsia="方正仿宋_GBK"/>
        </w:rPr>
        <w:t xml:space="preserve"> </w:t>
      </w:r>
      <w:r>
        <w:rPr>
          <w:rFonts w:hint="eastAsia" w:ascii="方正仿宋_GBK" w:hAnsi="仿宋_GB2312" w:eastAsia="方正仿宋_GBK" w:cs="仿宋_GB2312"/>
          <w:sz w:val="32"/>
        </w:rPr>
        <w:t>《江苏省政府关于促进建筑业改革发展的意见》（苏政发〔2017〕151号）,《关于进一步加强房屋建筑和市政基础设施工程招标投标监管的指导意见》（建市规〔2019〕11号）和《工程项目招投标领域营商环境专项整治工作方案》（发改办法规〔2019〕862号）精神，为进一步巩固我省房屋建筑和市政基础设施工程招投标改革成果，促进我省建筑业高质量发展， 针对我省房屋建筑和市政基础设施工程国有投资项目招投标活动，现通知如下：</w:t>
      </w:r>
    </w:p>
    <w:p>
      <w:pPr>
        <w:numPr>
          <w:ilvl w:val="0"/>
          <w:numId w:val="1"/>
        </w:num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优化招投标领域营商环境。按照“放管服”改革要求，各地不得要求招标人在“中介服务机构预选库”、“短名单”、 “预选承包商库”等带有歧视排斥性质的范围内确定中标人。我省房屋建筑和市政基础设施工程依法招标项目招标人不得采用抽签、摇号等方式直接确定中标候选人。招标人具备相应能力的，可自行办理招标事宜。委托招标的，招标人有权自行选择招标代理机构，各地不得要求招标人在指定范围内确定招标代理机构。</w:t>
      </w:r>
    </w:p>
    <w:p>
      <w:pPr>
        <w:numPr>
          <w:ilvl w:val="0"/>
          <w:numId w:val="1"/>
        </w:num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进一步规范工程总承包招投标活动。调整工程总承包的适用范围，单项合同估算价在5000万元以上的房屋建筑和市政基础设施工程，单项合同估算价在2000万元以上的装饰装修、安装、幕墙等工程，单项合同估算价在1000万元以上的园林绿化、智能化等工程适宜采用工程总承包发包。</w:t>
      </w:r>
      <w:r>
        <w:rPr>
          <w:rFonts w:hint="eastAsia" w:ascii="仿宋" w:hAnsi="仿宋" w:eastAsia="仿宋"/>
          <w:sz w:val="32"/>
          <w:szCs w:val="32"/>
        </w:rPr>
        <w:t>建设内容不明确、技术方案不成熟的项目，不适宜采用工程总承包方式。采用工程总承包方式的企业投资项目，应当在核准或者备案后进行工程总承包项目发包。采用工程总承包方式的政府投资项目，原则上应当在初步设计审批完成后进行工程总承包项目发包；其中，按照国家有关规定简化报批文件和审批程序的政府投资项目，应当在完成相应的投资决策审批后进行工程总承包项目发包。工程总承包单位应当同时具有与工程规模相适应的工程设计资质和施工资质，或者由具有相应资质的设计单位和施工单位组成联合体。工程总承包项目招标人应当在招标文件中明确接受由具有相应资质的设计单位和施工单位组成的联合体参加投标。</w:t>
      </w:r>
    </w:p>
    <w:p>
      <w:pPr>
        <w:numPr>
          <w:ilvl w:val="0"/>
          <w:numId w:val="1"/>
        </w:num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最</w:t>
      </w:r>
      <w:r>
        <w:rPr>
          <w:rFonts w:ascii="方正仿宋_GBK" w:hAnsi="Calibri" w:eastAsia="方正仿宋_GBK" w:cs="Times New Roman"/>
          <w:sz w:val="32"/>
          <w:szCs w:val="32"/>
        </w:rPr>
        <w:t>低价中标</w:t>
      </w:r>
      <w:r>
        <w:rPr>
          <w:rFonts w:hint="eastAsia" w:ascii="方正仿宋_GBK" w:hAnsi="Calibri" w:eastAsia="方正仿宋_GBK" w:cs="Times New Roman"/>
          <w:sz w:val="32"/>
          <w:szCs w:val="32"/>
        </w:rPr>
        <w:t>项目</w:t>
      </w:r>
      <w:r>
        <w:rPr>
          <w:rFonts w:ascii="方正仿宋_GBK" w:hAnsi="Calibri" w:eastAsia="方正仿宋_GBK" w:cs="Times New Roman"/>
          <w:sz w:val="32"/>
          <w:szCs w:val="32"/>
        </w:rPr>
        <w:t>实行</w:t>
      </w:r>
      <w:r>
        <w:rPr>
          <w:rFonts w:hint="eastAsia" w:ascii="方正仿宋_GBK" w:hAnsi="Calibri" w:eastAsia="方正仿宋_GBK" w:cs="Times New Roman"/>
          <w:sz w:val="32"/>
          <w:szCs w:val="32"/>
        </w:rPr>
        <w:t>高保额</w:t>
      </w:r>
      <w:r>
        <w:rPr>
          <w:rFonts w:ascii="方正仿宋_GBK" w:hAnsi="Calibri" w:eastAsia="方正仿宋_GBK" w:cs="Times New Roman"/>
          <w:sz w:val="32"/>
          <w:szCs w:val="32"/>
        </w:rPr>
        <w:t>履约担保。采用经评审的最低投标价法的施工招标项目，</w:t>
      </w:r>
      <w:r>
        <w:rPr>
          <w:rFonts w:hint="eastAsia" w:ascii="方正仿宋_GBK" w:hAnsi="Calibri" w:eastAsia="方正仿宋_GBK" w:cs="Times New Roman"/>
          <w:sz w:val="32"/>
          <w:szCs w:val="32"/>
        </w:rPr>
        <w:t>招标人要求中标人提交履约保证金外，可要求</w:t>
      </w:r>
      <w:r>
        <w:rPr>
          <w:rFonts w:ascii="方正仿宋_GBK" w:hAnsi="Calibri" w:eastAsia="方正仿宋_GBK" w:cs="Times New Roman"/>
          <w:sz w:val="32"/>
          <w:szCs w:val="32"/>
        </w:rPr>
        <w:t>中标人向招标人提供保函形式的差额履约担保，担保金额</w:t>
      </w:r>
      <w:r>
        <w:rPr>
          <w:rFonts w:hint="eastAsia" w:ascii="方正仿宋_GBK" w:hAnsi="Calibri" w:eastAsia="方正仿宋_GBK" w:cs="Times New Roman"/>
          <w:sz w:val="32"/>
          <w:szCs w:val="32"/>
        </w:rPr>
        <w:t>为</w:t>
      </w:r>
      <w:r>
        <w:rPr>
          <w:rFonts w:ascii="方正仿宋_GBK" w:hAnsi="Calibri" w:eastAsia="方正仿宋_GBK" w:cs="Times New Roman"/>
          <w:sz w:val="32"/>
          <w:szCs w:val="32"/>
        </w:rPr>
        <w:t>招标控制价和中标价的差值。</w:t>
      </w:r>
    </w:p>
    <w:p>
      <w:pPr>
        <w:spacing w:line="580" w:lineRule="exact"/>
        <w:rPr>
          <w:rFonts w:ascii="方正仿宋_GBK" w:hAnsi="Calibri" w:eastAsia="方正仿宋_GBK" w:cs="Times New Roman"/>
          <w:sz w:val="32"/>
          <w:szCs w:val="32"/>
        </w:rPr>
      </w:pPr>
      <w:r>
        <w:rPr>
          <w:rFonts w:hint="eastAsia" w:ascii="方正仿宋_GBK" w:hAnsi="Calibri" w:eastAsia="方正仿宋_GBK" w:cs="Times New Roman"/>
          <w:sz w:val="32"/>
          <w:szCs w:val="32"/>
        </w:rPr>
        <w:t xml:space="preserve">    四、推进房屋建筑工程设计招投标改革。对房屋建筑工程设计招标项目，取消招标人委派代表数量限制，招标人按照《中华人民共和国招标投标法》及《中华人民共和国招标投标法实施条例》等规定组建评标委员会或资格审查委员会，取消招标人委派代表数量限制。房屋建筑工程设计招标项目评标标准中设置投标报价评审因素的，其所占权重不超过10%。投标报价中的评标基准价一般以有效投标文件评标价的算术平均值为主。</w:t>
      </w:r>
    </w:p>
    <w:p>
      <w:pPr>
        <w:spacing w:line="580" w:lineRule="exact"/>
        <w:ind w:firstLine="640" w:firstLineChars="200"/>
        <w:rPr>
          <w:rFonts w:ascii="方正仿宋_GBK" w:hAnsi="Calibri" w:eastAsia="方正仿宋_GBK" w:cs="Times New Roman"/>
          <w:sz w:val="32"/>
          <w:szCs w:val="32"/>
        </w:rPr>
      </w:pPr>
      <w:r>
        <w:rPr>
          <w:rFonts w:hint="eastAsia" w:ascii="方正仿宋_GBK" w:eastAsia="方正仿宋_GBK"/>
          <w:color w:val="000000"/>
          <w:sz w:val="32"/>
          <w:szCs w:val="32"/>
        </w:rPr>
        <w:t>五</w:t>
      </w:r>
      <w:r>
        <w:rPr>
          <w:rFonts w:hint="eastAsia" w:ascii="方正仿宋_GBK" w:hAnsi="Calibri" w:eastAsia="方正仿宋_GBK" w:cs="Times New Roman"/>
          <w:sz w:val="32"/>
          <w:szCs w:val="32"/>
        </w:rPr>
        <w:t>、</w:t>
      </w:r>
      <w:r>
        <w:rPr>
          <w:rFonts w:hint="eastAsia" w:ascii="方正仿宋_GBK" w:eastAsia="方正仿宋_GBK"/>
          <w:color w:val="000000"/>
          <w:sz w:val="32"/>
          <w:szCs w:val="32"/>
        </w:rPr>
        <w:t>放宽招标资格预审的使用范围。我省房屋建筑和市政基础设施工程施工招标中：工程项目达到大型及以上或技术复杂的，可采用合格制资格预审；工程项目达到大型及以上且技术复杂的，可采用有限数量制资格预审。</w:t>
      </w:r>
    </w:p>
    <w:p>
      <w:pPr>
        <w:ind w:firstLine="640"/>
        <w:rPr>
          <w:rFonts w:ascii="方正仿宋_GBK" w:eastAsia="方正仿宋_GBK"/>
          <w:color w:val="000000"/>
          <w:sz w:val="32"/>
          <w:szCs w:val="32"/>
        </w:rPr>
      </w:pPr>
      <w:r>
        <w:rPr>
          <w:rFonts w:hint="eastAsia" w:ascii="方正仿宋_GBK" w:eastAsia="方正仿宋_GBK"/>
          <w:color w:val="000000"/>
          <w:sz w:val="32"/>
          <w:szCs w:val="32"/>
        </w:rPr>
        <w:t>六、优化调整施工评标方法。我省房屋建筑和市政基础设施工程施工招标中：对于特大型工程且技术复杂工程，综合评估法中原评审因素施工组织设计分值</w:t>
      </w:r>
      <w:r>
        <w:rPr>
          <w:rFonts w:hint="eastAsia" w:ascii="方正仿宋_GBK" w:hAnsi="Calibri" w:eastAsia="方正仿宋_GBK" w:cs="Times New Roman"/>
          <w:sz w:val="32"/>
          <w:szCs w:val="32"/>
        </w:rPr>
        <w:t>可最高</w:t>
      </w:r>
      <w:r>
        <w:rPr>
          <w:rFonts w:hint="eastAsia" w:ascii="方正仿宋_GBK" w:eastAsia="方正仿宋_GBK"/>
          <w:color w:val="000000"/>
          <w:sz w:val="32"/>
          <w:szCs w:val="32"/>
        </w:rPr>
        <w:t>增加8分，增加分值从相应投标报价分值中扣减；对于特大型及以上工程或技术复杂工程，综合评估法中原评审因素施工组织设计分值可最高增加6分，增加分值从相应投标报价分值中扣减。施工组织设计评审要点中应当增加施工过程各阶段质量安全的保证措施。</w:t>
      </w:r>
    </w:p>
    <w:p>
      <w:pPr>
        <w:spacing w:line="580" w:lineRule="exact"/>
        <w:ind w:firstLine="704" w:firstLineChars="220"/>
        <w:rPr>
          <w:rFonts w:ascii="方正仿宋_GBK" w:eastAsia="方正仿宋_GBK"/>
          <w:color w:val="000000"/>
          <w:sz w:val="32"/>
          <w:szCs w:val="32"/>
        </w:rPr>
      </w:pPr>
      <w:r>
        <w:rPr>
          <w:rFonts w:hint="eastAsia" w:ascii="方正仿宋_GBK" w:hAnsi="Calibri" w:eastAsia="方正仿宋_GBK" w:cs="Times New Roman"/>
          <w:color w:val="000000"/>
          <w:sz w:val="32"/>
          <w:szCs w:val="32"/>
        </w:rPr>
        <w:t>七、规范园林绿化工程招标活动。</w:t>
      </w:r>
      <w:r>
        <w:rPr>
          <w:rFonts w:hint="eastAsia" w:ascii="仿宋" w:hAnsi="仿宋" w:eastAsia="仿宋"/>
          <w:color w:val="111111"/>
          <w:sz w:val="32"/>
          <w:szCs w:val="32"/>
        </w:rPr>
        <w:t>园林绿化工程施工或园林绿化工程总承包招标中，</w:t>
      </w:r>
      <w:r>
        <w:rPr>
          <w:rFonts w:hint="eastAsia" w:ascii="方正仿宋_GBK" w:hAnsi="Calibri" w:eastAsia="方正仿宋_GBK" w:cs="Times New Roman"/>
          <w:color w:val="000000"/>
          <w:sz w:val="32"/>
          <w:szCs w:val="32"/>
        </w:rPr>
        <w:t>招标人不得将具备原城市园林绿化施工资质或市政公用工程施工总承包资质等作为投标人资格条件，</w:t>
      </w:r>
      <w:r>
        <w:rPr>
          <w:rFonts w:hint="eastAsia" w:ascii="方正仿宋_GBK" w:eastAsia="方正仿宋_GBK"/>
          <w:sz w:val="32"/>
          <w:szCs w:val="32"/>
        </w:rPr>
        <w:t>不得要求项目负责人具备市政公用工程注册建造师执业资格。综合性公园及专类公园建设改造工程、古树名木保护工程、以及含有高堆土（高度5米以上）、假山（高度3米以上）等技术较复杂内容的</w:t>
      </w:r>
      <w:r>
        <w:rPr>
          <w:rFonts w:hint="eastAsia" w:ascii="仿宋" w:hAnsi="仿宋" w:eastAsia="仿宋"/>
          <w:color w:val="111111"/>
          <w:sz w:val="32"/>
          <w:szCs w:val="32"/>
        </w:rPr>
        <w:t>园林绿化工程招标，可设置类似工程业绩资格条件，类似工程通过工程面积、造价等量化指标体现，其量化指标一般不应超过招标工程相应指标的70%。</w:t>
      </w:r>
    </w:p>
    <w:p>
      <w:pPr>
        <w:spacing w:line="580" w:lineRule="exact"/>
        <w:ind w:firstLine="704" w:firstLineChars="220"/>
        <w:rPr>
          <w:rFonts w:ascii="方正仿宋_GBK" w:hAnsi="Calibri" w:eastAsia="方正仿宋_GBK" w:cs="Times New Roman"/>
          <w:color w:val="000000"/>
          <w:sz w:val="32"/>
          <w:szCs w:val="32"/>
        </w:rPr>
      </w:pPr>
      <w:r>
        <w:rPr>
          <w:rFonts w:hint="eastAsia" w:ascii="方正仿宋_GBK" w:hAnsi="Calibri" w:eastAsia="方正仿宋_GBK" w:cs="Times New Roman"/>
          <w:color w:val="000000"/>
          <w:sz w:val="32"/>
          <w:szCs w:val="32"/>
        </w:rPr>
        <w:t>八、调整“评定分离”有关政策。扩大“评定分离”的适用范围，建筑设计方案招标项目、采用工程总承包的招标项目、大型及以上且技术复杂的项目、政府集中建设的大型及以上或技术复杂项目（不含社会代建项目）可采用“评定分离”确定中标人。调整定标委员会的组成，招标人建立的定标成员库人数应不少于定标委员会人数的3倍。评标委员会推荐的定标候选人原则上不进行排序，可按照企业组织代码排列。</w:t>
      </w:r>
    </w:p>
    <w:p>
      <w:p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九、规范装配式建筑招投标活动。我省装配式建筑招标项目的设计、施工和监理招标，混凝土装配式居住（含公寓）建筑预制装配率达到60%的、公共建筑预制装配率达到55%的，装配式钢结构住宅、装配式木结构建筑预制装配率达到80%的，可采用邀请招标方式。招标人应</w:t>
      </w:r>
      <w:r>
        <w:rPr>
          <w:rFonts w:hint="eastAsia" w:ascii="仿宋" w:hAnsi="仿宋" w:eastAsia="仿宋"/>
          <w:sz w:val="32"/>
          <w:szCs w:val="32"/>
        </w:rPr>
        <w:t>优先邀请具有装配式建筑类似工程业绩的单位参加投标。</w:t>
      </w:r>
    </w:p>
    <w:p>
      <w:p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十、强化综合专家库评标专家的监管。严把评委入库关口，严格按照申报条件，由各设区市对本辖区的评委申报进行初审，初审通过的提交到省招标办终审。做好对评标专家的动态考核工作，实行“一标一评”，发现评标专家存在违法违规行为，依法依规严肃查处。</w:t>
      </w:r>
    </w:p>
    <w:p>
      <w:pPr>
        <w:spacing w:line="580" w:lineRule="exact"/>
        <w:ind w:firstLine="704" w:firstLineChars="220"/>
        <w:rPr>
          <w:rFonts w:ascii="方正仿宋_GBK" w:hAnsi="Calibri" w:eastAsia="方正仿宋_GBK" w:cs="Times New Roman"/>
          <w:sz w:val="32"/>
          <w:szCs w:val="32"/>
        </w:rPr>
      </w:pPr>
      <w:r>
        <w:rPr>
          <w:rFonts w:hint="eastAsia" w:ascii="方正仿宋_GBK" w:hAnsi="Calibri" w:eastAsia="方正仿宋_GBK" w:cs="Times New Roman"/>
          <w:sz w:val="32"/>
          <w:szCs w:val="32"/>
        </w:rPr>
        <w:t>十一、强化招标代理机构市场行为监管。推进对代理机构的“双随机、一公开”检查制度的常态化，</w:t>
      </w:r>
      <w:r>
        <w:rPr>
          <w:rFonts w:hint="eastAsia" w:ascii="方正仿宋_GBK" w:eastAsia="方正仿宋_GBK"/>
          <w:color w:val="000000"/>
          <w:sz w:val="32"/>
          <w:szCs w:val="32"/>
        </w:rPr>
        <w:t>研究制定应用检查结果对招标代理机构进行管理的制度。</w:t>
      </w:r>
    </w:p>
    <w:p/>
    <w:p/>
    <w:p>
      <w:pPr>
        <w:spacing w:line="580" w:lineRule="exact"/>
        <w:ind w:firstLine="704" w:firstLineChars="220"/>
        <w:rPr>
          <w:rFonts w:ascii="方正仿宋_GBK" w:eastAsia="方正仿宋_GBK"/>
          <w:color w:val="000000"/>
          <w:sz w:val="32"/>
          <w:szCs w:val="32"/>
        </w:rPr>
      </w:pPr>
      <w:r>
        <w:rPr>
          <w:rFonts w:hint="eastAsia" w:ascii="方正仿宋_GBK" w:eastAsia="方正仿宋_GBK"/>
          <w:color w:val="000000"/>
          <w:sz w:val="32"/>
          <w:szCs w:val="32"/>
        </w:rPr>
        <w:t>本通知所称的特大型、大型和技术复杂工程是指《关于改革和完善房屋建筑和市政基础设施工程招标投标制度的实施意见》</w:t>
      </w:r>
      <w:r>
        <w:rPr>
          <w:rFonts w:hint="eastAsia" w:ascii="方正仿宋_GBK" w:hAnsi="仿宋_GB2312" w:eastAsia="方正仿宋_GBK" w:cs="仿宋_GB2312"/>
          <w:sz w:val="32"/>
        </w:rPr>
        <w:t>（</w:t>
      </w:r>
      <w:r>
        <w:rPr>
          <w:rFonts w:hint="eastAsia" w:ascii="方正仿宋_GBK" w:eastAsia="方正仿宋_GBK"/>
          <w:color w:val="000000"/>
          <w:sz w:val="32"/>
          <w:szCs w:val="32"/>
        </w:rPr>
        <w:t>苏建规字</w:t>
      </w:r>
      <w:r>
        <w:rPr>
          <w:rFonts w:hint="eastAsia" w:ascii="方正仿宋_GBK" w:hAnsi="仿宋_GB2312" w:eastAsia="方正仿宋_GBK" w:cs="仿宋_GB2312"/>
          <w:sz w:val="32"/>
        </w:rPr>
        <w:t>〔2017〕1号）</w:t>
      </w:r>
      <w:r>
        <w:rPr>
          <w:rFonts w:hint="eastAsia" w:ascii="方正仿宋_GBK" w:eastAsia="方正仿宋_GBK"/>
          <w:color w:val="000000"/>
          <w:sz w:val="32"/>
          <w:szCs w:val="32"/>
        </w:rPr>
        <w:t>中规定的工程。</w:t>
      </w:r>
    </w:p>
    <w:p>
      <w:pPr>
        <w:spacing w:line="580" w:lineRule="exact"/>
        <w:ind w:firstLine="704" w:firstLineChars="220"/>
        <w:rPr>
          <w:rFonts w:ascii="方正仿宋_GBK" w:eastAsia="方正仿宋_GBK"/>
          <w:color w:val="00000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Consolas">
    <w:panose1 w:val="020B0609020204030204"/>
    <w:charset w:val="00"/>
    <w:family w:val="modern"/>
    <w:pitch w:val="default"/>
    <w:sig w:usb0="E10002FF" w:usb1="4000FCFF" w:usb2="00000009" w:usb3="00000000" w:csb0="6000019F" w:csb1="DFD7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CA814D"/>
    <w:multiLevelType w:val="singleLevel"/>
    <w:tmpl w:val="FCCA814D"/>
    <w:lvl w:ilvl="0" w:tentative="0">
      <w:start w:val="1"/>
      <w:numFmt w:val="chineseCounting"/>
      <w:suff w:val="nothing"/>
      <w:lvlText w:val="%1、"/>
      <w:lvlJc w:val="left"/>
      <w:rPr>
        <w:rFonts w:hint="eastAsia"/>
        <w:lang w:val="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50083"/>
    <w:rsid w:val="00001373"/>
    <w:rsid w:val="0002018B"/>
    <w:rsid w:val="00025446"/>
    <w:rsid w:val="0002549C"/>
    <w:rsid w:val="00050083"/>
    <w:rsid w:val="00090D2A"/>
    <w:rsid w:val="000A458A"/>
    <w:rsid w:val="000B68F5"/>
    <w:rsid w:val="000D2F3C"/>
    <w:rsid w:val="000E1533"/>
    <w:rsid w:val="000E3F3E"/>
    <w:rsid w:val="00100974"/>
    <w:rsid w:val="00104D69"/>
    <w:rsid w:val="0013169D"/>
    <w:rsid w:val="00137C1A"/>
    <w:rsid w:val="00140A4F"/>
    <w:rsid w:val="0016391D"/>
    <w:rsid w:val="0016721A"/>
    <w:rsid w:val="00173FA4"/>
    <w:rsid w:val="001A190C"/>
    <w:rsid w:val="001A3C56"/>
    <w:rsid w:val="001A651B"/>
    <w:rsid w:val="001A7247"/>
    <w:rsid w:val="001B1783"/>
    <w:rsid w:val="001C4A6E"/>
    <w:rsid w:val="001D552C"/>
    <w:rsid w:val="00203872"/>
    <w:rsid w:val="00214274"/>
    <w:rsid w:val="0023629F"/>
    <w:rsid w:val="00247A54"/>
    <w:rsid w:val="00263D96"/>
    <w:rsid w:val="00274F21"/>
    <w:rsid w:val="002C4B26"/>
    <w:rsid w:val="002E4D78"/>
    <w:rsid w:val="002F3FEC"/>
    <w:rsid w:val="00317995"/>
    <w:rsid w:val="00353E95"/>
    <w:rsid w:val="00357460"/>
    <w:rsid w:val="00376055"/>
    <w:rsid w:val="00377611"/>
    <w:rsid w:val="003A37FB"/>
    <w:rsid w:val="003A4D30"/>
    <w:rsid w:val="003C6C74"/>
    <w:rsid w:val="003F03AA"/>
    <w:rsid w:val="003F2186"/>
    <w:rsid w:val="003F3A26"/>
    <w:rsid w:val="003F7F87"/>
    <w:rsid w:val="00424005"/>
    <w:rsid w:val="004519D3"/>
    <w:rsid w:val="004A4CCF"/>
    <w:rsid w:val="004A7002"/>
    <w:rsid w:val="004B2760"/>
    <w:rsid w:val="004B6893"/>
    <w:rsid w:val="004D10C5"/>
    <w:rsid w:val="004F4463"/>
    <w:rsid w:val="004F4981"/>
    <w:rsid w:val="004F526F"/>
    <w:rsid w:val="0053722C"/>
    <w:rsid w:val="00557921"/>
    <w:rsid w:val="005A195B"/>
    <w:rsid w:val="005A67B0"/>
    <w:rsid w:val="005D1361"/>
    <w:rsid w:val="005E4AC4"/>
    <w:rsid w:val="005E5705"/>
    <w:rsid w:val="005E6E85"/>
    <w:rsid w:val="00621A89"/>
    <w:rsid w:val="0063035B"/>
    <w:rsid w:val="0063573B"/>
    <w:rsid w:val="00644672"/>
    <w:rsid w:val="006540EE"/>
    <w:rsid w:val="006559A2"/>
    <w:rsid w:val="0065607D"/>
    <w:rsid w:val="00665DD9"/>
    <w:rsid w:val="006953D4"/>
    <w:rsid w:val="006960FF"/>
    <w:rsid w:val="006A40A8"/>
    <w:rsid w:val="006A7DBD"/>
    <w:rsid w:val="006E05E4"/>
    <w:rsid w:val="006E18CC"/>
    <w:rsid w:val="00706E72"/>
    <w:rsid w:val="007148DB"/>
    <w:rsid w:val="00725638"/>
    <w:rsid w:val="007467A8"/>
    <w:rsid w:val="00794139"/>
    <w:rsid w:val="00794EE2"/>
    <w:rsid w:val="00796066"/>
    <w:rsid w:val="007A1CF8"/>
    <w:rsid w:val="007B502B"/>
    <w:rsid w:val="008112F2"/>
    <w:rsid w:val="008643E9"/>
    <w:rsid w:val="0089274D"/>
    <w:rsid w:val="008E2D0B"/>
    <w:rsid w:val="008F1452"/>
    <w:rsid w:val="009434AC"/>
    <w:rsid w:val="00965094"/>
    <w:rsid w:val="00975A9B"/>
    <w:rsid w:val="00987BA4"/>
    <w:rsid w:val="009B2823"/>
    <w:rsid w:val="009F0B5A"/>
    <w:rsid w:val="00A03894"/>
    <w:rsid w:val="00A04B93"/>
    <w:rsid w:val="00A127D8"/>
    <w:rsid w:val="00A31191"/>
    <w:rsid w:val="00A34045"/>
    <w:rsid w:val="00A506D8"/>
    <w:rsid w:val="00A555C5"/>
    <w:rsid w:val="00A64177"/>
    <w:rsid w:val="00A70584"/>
    <w:rsid w:val="00A738EB"/>
    <w:rsid w:val="00A874B2"/>
    <w:rsid w:val="00AB2538"/>
    <w:rsid w:val="00AE1488"/>
    <w:rsid w:val="00AE5919"/>
    <w:rsid w:val="00B158EF"/>
    <w:rsid w:val="00B27B9C"/>
    <w:rsid w:val="00B362FD"/>
    <w:rsid w:val="00B47015"/>
    <w:rsid w:val="00B56A89"/>
    <w:rsid w:val="00B6334F"/>
    <w:rsid w:val="00B80B30"/>
    <w:rsid w:val="00B8160B"/>
    <w:rsid w:val="00B913C0"/>
    <w:rsid w:val="00B97658"/>
    <w:rsid w:val="00BB5904"/>
    <w:rsid w:val="00BE634D"/>
    <w:rsid w:val="00BF3303"/>
    <w:rsid w:val="00C02461"/>
    <w:rsid w:val="00C10F6C"/>
    <w:rsid w:val="00C20130"/>
    <w:rsid w:val="00C25F0C"/>
    <w:rsid w:val="00C354C8"/>
    <w:rsid w:val="00C415AA"/>
    <w:rsid w:val="00C428CB"/>
    <w:rsid w:val="00C53F1C"/>
    <w:rsid w:val="00C90751"/>
    <w:rsid w:val="00C97756"/>
    <w:rsid w:val="00CB3D69"/>
    <w:rsid w:val="00CC68AC"/>
    <w:rsid w:val="00CF3B3E"/>
    <w:rsid w:val="00D10B17"/>
    <w:rsid w:val="00D17D45"/>
    <w:rsid w:val="00D23CC2"/>
    <w:rsid w:val="00D26242"/>
    <w:rsid w:val="00D4401A"/>
    <w:rsid w:val="00D46ED2"/>
    <w:rsid w:val="00D61472"/>
    <w:rsid w:val="00D62C98"/>
    <w:rsid w:val="00D73100"/>
    <w:rsid w:val="00D75A57"/>
    <w:rsid w:val="00DA2663"/>
    <w:rsid w:val="00DA71A0"/>
    <w:rsid w:val="00DB7D0A"/>
    <w:rsid w:val="00DC0A2C"/>
    <w:rsid w:val="00DE2306"/>
    <w:rsid w:val="00DF3B8D"/>
    <w:rsid w:val="00E045A2"/>
    <w:rsid w:val="00E17949"/>
    <w:rsid w:val="00E362BB"/>
    <w:rsid w:val="00E42FE7"/>
    <w:rsid w:val="00E62C6C"/>
    <w:rsid w:val="00EA11C6"/>
    <w:rsid w:val="00EC4B1E"/>
    <w:rsid w:val="00EE3EC1"/>
    <w:rsid w:val="00F00995"/>
    <w:rsid w:val="00F100D0"/>
    <w:rsid w:val="00F11AD3"/>
    <w:rsid w:val="00F13BE7"/>
    <w:rsid w:val="00F46E17"/>
    <w:rsid w:val="00F66270"/>
    <w:rsid w:val="00F74A29"/>
    <w:rsid w:val="00F7717C"/>
    <w:rsid w:val="00F94636"/>
    <w:rsid w:val="00F96D11"/>
    <w:rsid w:val="03A70C63"/>
    <w:rsid w:val="0E580EB3"/>
    <w:rsid w:val="0EAE0483"/>
    <w:rsid w:val="1B0B166E"/>
    <w:rsid w:val="459F4678"/>
    <w:rsid w:val="602423B0"/>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qFormat="1"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13">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21"/>
    <w:unhideWhenUsed/>
    <w:uiPriority w:val="99"/>
    <w:rPr>
      <w:sz w:val="18"/>
      <w:szCs w:val="18"/>
    </w:rPr>
  </w:style>
  <w:style w:type="paragraph" w:styleId="3">
    <w:name w:val="footer"/>
    <w:basedOn w:val="1"/>
    <w:link w:val="15"/>
    <w:unhideWhenUsed/>
    <w:uiPriority w:val="99"/>
    <w:pPr>
      <w:tabs>
        <w:tab w:val="center" w:pos="4153"/>
        <w:tab w:val="right" w:pos="8306"/>
      </w:tabs>
      <w:snapToGrid w:val="0"/>
      <w:jc w:val="left"/>
    </w:pPr>
    <w:rPr>
      <w:sz w:val="18"/>
      <w:szCs w:val="18"/>
    </w:rPr>
  </w:style>
  <w:style w:type="paragraph" w:styleId="4">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jc w:val="left"/>
    </w:pPr>
    <w:rPr>
      <w:rFonts w:cs="Times New Roman"/>
      <w:kern w:val="0"/>
      <w:sz w:val="24"/>
    </w:rPr>
  </w:style>
  <w:style w:type="character" w:styleId="7">
    <w:name w:val="Strong"/>
    <w:basedOn w:val="6"/>
    <w:qFormat/>
    <w:uiPriority w:val="22"/>
    <w:rPr>
      <w:b/>
    </w:rPr>
  </w:style>
  <w:style w:type="character" w:styleId="8">
    <w:name w:val="FollowedHyperlink"/>
    <w:basedOn w:val="6"/>
    <w:unhideWhenUsed/>
    <w:qFormat/>
    <w:uiPriority w:val="99"/>
    <w:rPr>
      <w:color w:val="161616"/>
      <w:u w:val="none"/>
    </w:rPr>
  </w:style>
  <w:style w:type="character" w:styleId="9">
    <w:name w:val="Hyperlink"/>
    <w:basedOn w:val="6"/>
    <w:unhideWhenUsed/>
    <w:qFormat/>
    <w:uiPriority w:val="99"/>
    <w:rPr>
      <w:color w:val="161616"/>
      <w:u w:val="none"/>
    </w:rPr>
  </w:style>
  <w:style w:type="character" w:styleId="10">
    <w:name w:val="HTML Code"/>
    <w:basedOn w:val="6"/>
    <w:unhideWhenUsed/>
    <w:qFormat/>
    <w:uiPriority w:val="99"/>
    <w:rPr>
      <w:rFonts w:ascii="Consolas" w:hAnsi="Consolas" w:eastAsia="Consolas" w:cs="Consolas"/>
      <w:color w:val="E83E8C"/>
      <w:sz w:val="21"/>
      <w:szCs w:val="21"/>
    </w:rPr>
  </w:style>
  <w:style w:type="character" w:styleId="11">
    <w:name w:val="HTML Keyboard"/>
    <w:basedOn w:val="6"/>
    <w:unhideWhenUsed/>
    <w:qFormat/>
    <w:uiPriority w:val="99"/>
    <w:rPr>
      <w:rFonts w:hint="default" w:ascii="Consolas" w:hAnsi="Consolas" w:eastAsia="Consolas" w:cs="Consolas"/>
      <w:color w:val="FFFFFF"/>
      <w:sz w:val="21"/>
      <w:szCs w:val="21"/>
      <w:shd w:val="clear" w:color="auto" w:fill="212529"/>
    </w:rPr>
  </w:style>
  <w:style w:type="character" w:styleId="12">
    <w:name w:val="HTML Sample"/>
    <w:basedOn w:val="6"/>
    <w:unhideWhenUsed/>
    <w:uiPriority w:val="99"/>
    <w:rPr>
      <w:rFonts w:hint="default" w:ascii="Consolas" w:hAnsi="Consolas" w:eastAsia="Consolas" w:cs="Consolas"/>
      <w:sz w:val="21"/>
      <w:szCs w:val="21"/>
    </w:rPr>
  </w:style>
  <w:style w:type="character" w:customStyle="1" w:styleId="14">
    <w:name w:val="页眉 Char"/>
    <w:basedOn w:val="6"/>
    <w:link w:val="4"/>
    <w:semiHidden/>
    <w:uiPriority w:val="99"/>
    <w:rPr>
      <w:sz w:val="18"/>
      <w:szCs w:val="18"/>
    </w:rPr>
  </w:style>
  <w:style w:type="character" w:customStyle="1" w:styleId="15">
    <w:name w:val="页脚 Char"/>
    <w:basedOn w:val="6"/>
    <w:link w:val="3"/>
    <w:semiHidden/>
    <w:qFormat/>
    <w:uiPriority w:val="99"/>
    <w:rPr>
      <w:sz w:val="18"/>
      <w:szCs w:val="18"/>
    </w:rPr>
  </w:style>
  <w:style w:type="character" w:customStyle="1" w:styleId="16">
    <w:name w:val="disabled"/>
    <w:basedOn w:val="6"/>
    <w:uiPriority w:val="0"/>
    <w:rPr>
      <w:color w:val="BFBFBF"/>
    </w:rPr>
  </w:style>
  <w:style w:type="character" w:customStyle="1" w:styleId="17">
    <w:name w:val="current4"/>
    <w:basedOn w:val="6"/>
    <w:uiPriority w:val="0"/>
    <w:rPr>
      <w:color w:val="FFFFFF"/>
      <w:shd w:val="clear" w:color="auto" w:fill="428BCA"/>
    </w:rPr>
  </w:style>
  <w:style w:type="character" w:customStyle="1" w:styleId="18">
    <w:name w:val="layui-layer-tabnow"/>
    <w:basedOn w:val="6"/>
    <w:uiPriority w:val="0"/>
    <w:rPr>
      <w:bdr w:val="single" w:color="CCCCCC" w:sz="4" w:space="0"/>
      <w:shd w:val="clear" w:color="auto" w:fill="FFFFFF"/>
    </w:rPr>
  </w:style>
  <w:style w:type="character" w:customStyle="1" w:styleId="19">
    <w:name w:val="first-child"/>
    <w:basedOn w:val="6"/>
    <w:uiPriority w:val="0"/>
  </w:style>
  <w:style w:type="character" w:customStyle="1" w:styleId="20">
    <w:name w:val="article_title"/>
    <w:basedOn w:val="6"/>
    <w:uiPriority w:val="0"/>
  </w:style>
  <w:style w:type="character" w:customStyle="1" w:styleId="21">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Pages>
  <Words>347</Words>
  <Characters>1982</Characters>
  <Lines>16</Lines>
  <Paragraphs>4</Paragraphs>
  <TotalTime>0</TotalTime>
  <ScaleCrop>false</ScaleCrop>
  <LinksUpToDate>false</LinksUpToDate>
  <CharactersWithSpaces>2325</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2019-11-21T02:44:00Z</dcterms:created>
  <dc:creator>USER-</dc:creator>
  <cp:lastModifiedBy>DELL</cp:lastModifiedBy>
  <cp:lastPrinted>2020-04-29T00:53:00Z</cp:lastPrinted>
  <dcterms:modified xsi:type="dcterms:W3CDTF">2020-04-29T09:09:03Z</dcterms:modified>
  <dc:title>关于深化我省房屋建筑和市政基础设施</dc:title>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