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val="0"/>
        <w:topLinePunct w:val="0"/>
        <w:autoSpaceDE/>
        <w:autoSpaceDN/>
        <w:bidi w:val="0"/>
        <w:adjustRightInd/>
        <w:snapToGrid/>
        <w:spacing w:line="590" w:lineRule="exact"/>
        <w:jc w:val="left"/>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eastAsia="zh-CN"/>
        </w:rPr>
        <w:t>附件</w:t>
      </w:r>
      <w:r>
        <w:rPr>
          <w:rFonts w:hint="default" w:ascii="Times New Roman" w:hAnsi="Times New Roman" w:eastAsia="方正黑体_GBK" w:cs="Times New Roman"/>
          <w:sz w:val="32"/>
          <w:szCs w:val="32"/>
          <w:lang w:val="en-US" w:eastAsia="zh-CN"/>
        </w:rPr>
        <w:t>1</w:t>
      </w:r>
    </w:p>
    <w:p>
      <w:pPr>
        <w:keepNext w:val="0"/>
        <w:keepLines w:val="0"/>
        <w:pageBreakBefore w:val="0"/>
        <w:widowControl w:val="0"/>
        <w:kinsoku/>
        <w:wordWrap/>
        <w:overflowPunct w:val="0"/>
        <w:topLinePunct w:val="0"/>
        <w:autoSpaceDE/>
        <w:autoSpaceDN/>
        <w:bidi w:val="0"/>
        <w:adjustRightInd/>
        <w:snapToGrid/>
        <w:spacing w:line="590" w:lineRule="exact"/>
        <w:jc w:val="left"/>
        <w:textAlignment w:val="auto"/>
        <w:rPr>
          <w:rFonts w:hint="eastAsia" w:ascii="方正仿宋_GBK" w:hAnsi="方正仿宋_GBK" w:eastAsia="方正仿宋_GBK" w:cs="方正仿宋_GBK"/>
          <w:sz w:val="32"/>
          <w:szCs w:val="32"/>
        </w:rPr>
      </w:pPr>
    </w:p>
    <w:p>
      <w:pPr>
        <w:keepNext w:val="0"/>
        <w:keepLines w:val="0"/>
        <w:pageBreakBefore w:val="0"/>
        <w:widowControl w:val="0"/>
        <w:kinsoku/>
        <w:wordWrap/>
        <w:overflowPunct w:val="0"/>
        <w:topLinePunct w:val="0"/>
        <w:autoSpaceDE/>
        <w:autoSpaceDN/>
        <w:bidi w:val="0"/>
        <w:adjustRightInd/>
        <w:snapToGrid/>
        <w:spacing w:line="590" w:lineRule="exact"/>
        <w:jc w:val="center"/>
        <w:textAlignment w:val="auto"/>
        <w:rPr>
          <w:rFonts w:hint="eastAsia" w:ascii="方正小标宋_GBK" w:hAnsi="方正小标宋_GBK" w:eastAsia="方正小标宋_GBK" w:cs="方正小标宋_GBK"/>
          <w:spacing w:val="0"/>
          <w:sz w:val="44"/>
          <w:szCs w:val="44"/>
        </w:rPr>
      </w:pPr>
      <w:r>
        <w:rPr>
          <w:rFonts w:hint="eastAsia" w:ascii="方正小标宋_GBK" w:hAnsi="方正小标宋_GBK" w:eastAsia="方正小标宋_GBK" w:cs="方正小标宋_GBK"/>
          <w:spacing w:val="0"/>
          <w:sz w:val="44"/>
          <w:szCs w:val="44"/>
        </w:rPr>
        <w:t>江苏省公共资源交易平台信息发布管理规定</w:t>
      </w:r>
    </w:p>
    <w:p>
      <w:pPr>
        <w:keepNext w:val="0"/>
        <w:keepLines w:val="0"/>
        <w:pageBreakBefore w:val="0"/>
        <w:widowControl w:val="0"/>
        <w:kinsoku/>
        <w:wordWrap/>
        <w:overflowPunct w:val="0"/>
        <w:topLinePunct w:val="0"/>
        <w:autoSpaceDE/>
        <w:autoSpaceDN/>
        <w:bidi w:val="0"/>
        <w:adjustRightInd/>
        <w:snapToGrid/>
        <w:spacing w:line="590" w:lineRule="exact"/>
        <w:jc w:val="center"/>
        <w:textAlignment w:val="auto"/>
        <w:rPr>
          <w:rFonts w:hint="eastAsia" w:ascii="方正楷体_GBK" w:hAnsi="方正楷体_GBK" w:eastAsia="方正楷体_GBK" w:cs="方正楷体_GBK"/>
          <w:sz w:val="32"/>
          <w:szCs w:val="32"/>
          <w:lang w:eastAsia="zh-CN"/>
        </w:rPr>
      </w:pPr>
      <w:r>
        <w:rPr>
          <w:rFonts w:hint="eastAsia" w:ascii="方正楷体_GBK" w:hAnsi="方正楷体_GBK" w:eastAsia="方正楷体_GBK" w:cs="方正楷体_GBK"/>
          <w:sz w:val="32"/>
          <w:szCs w:val="32"/>
          <w:lang w:eastAsia="zh-CN"/>
        </w:rPr>
        <w:t>（</w:t>
      </w:r>
      <w:r>
        <w:rPr>
          <w:rFonts w:hint="eastAsia" w:ascii="方正楷体_GBK" w:hAnsi="方正楷体_GBK" w:eastAsia="方正楷体_GBK" w:cs="方正楷体_GBK"/>
          <w:sz w:val="32"/>
          <w:szCs w:val="32"/>
          <w:lang w:val="en-US" w:eastAsia="zh-CN"/>
        </w:rPr>
        <w:t>征求意见稿</w:t>
      </w:r>
      <w:r>
        <w:rPr>
          <w:rFonts w:hint="eastAsia" w:ascii="方正楷体_GBK" w:hAnsi="方正楷体_GBK" w:eastAsia="方正楷体_GBK" w:cs="方正楷体_GBK"/>
          <w:sz w:val="32"/>
          <w:szCs w:val="32"/>
          <w:lang w:eastAsia="zh-CN"/>
        </w:rPr>
        <w:t>）</w:t>
      </w:r>
    </w:p>
    <w:p>
      <w:pPr>
        <w:keepNext w:val="0"/>
        <w:keepLines w:val="0"/>
        <w:pageBreakBefore w:val="0"/>
        <w:widowControl w:val="0"/>
        <w:kinsoku/>
        <w:wordWrap/>
        <w:overflowPunct w:val="0"/>
        <w:topLinePunct w:val="0"/>
        <w:autoSpaceDE/>
        <w:autoSpaceDN/>
        <w:bidi w:val="0"/>
        <w:adjustRightInd/>
        <w:snapToGrid/>
        <w:spacing w:line="590" w:lineRule="exact"/>
        <w:jc w:val="left"/>
        <w:textAlignment w:val="auto"/>
        <w:rPr>
          <w:rFonts w:hint="eastAsia" w:ascii="方正楷体_GBK" w:hAnsi="方正楷体_GBK" w:eastAsia="方正楷体_GBK" w:cs="方正楷体_GBK"/>
          <w:sz w:val="32"/>
          <w:szCs w:val="32"/>
          <w:lang w:eastAsia="zh-CN"/>
        </w:rPr>
      </w:pPr>
    </w:p>
    <w:p>
      <w:pPr>
        <w:keepNext w:val="0"/>
        <w:keepLines w:val="0"/>
        <w:pageBreakBefore w:val="0"/>
        <w:widowControl w:val="0"/>
        <w:kinsoku/>
        <w:wordWrap/>
        <w:overflowPunct w:val="0"/>
        <w:topLinePunct w:val="0"/>
        <w:autoSpaceDE/>
        <w:autoSpaceDN/>
        <w:bidi w:val="0"/>
        <w:adjustRightInd/>
        <w:snapToGrid/>
        <w:spacing w:line="590" w:lineRule="exact"/>
        <w:jc w:val="center"/>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eastAsia="zh-CN"/>
        </w:rPr>
        <w:t>第一章</w:t>
      </w:r>
      <w:r>
        <w:rPr>
          <w:rFonts w:hint="eastAsia" w:ascii="方正黑体_GBK" w:hAnsi="方正黑体_GBK" w:eastAsia="方正黑体_GBK" w:cs="方正黑体_GBK"/>
          <w:sz w:val="32"/>
          <w:szCs w:val="32"/>
          <w:lang w:val="en-US" w:eastAsia="zh-CN"/>
        </w:rPr>
        <w:t xml:space="preserve">  总则</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黑体_GBK" w:hAnsi="方正黑体_GBK" w:eastAsia="方正黑体_GBK" w:cs="方正黑体_GBK"/>
          <w:sz w:val="32"/>
          <w:szCs w:val="32"/>
          <w:lang w:val="en-US" w:eastAsia="zh-CN"/>
        </w:rPr>
        <w:t>第一条</w:t>
      </w:r>
      <w:r>
        <w:rPr>
          <w:rFonts w:hint="eastAsia" w:ascii="方正仿宋_GBK" w:hAnsi="方正仿宋_GBK" w:eastAsia="方正仿宋_GBK" w:cs="方正仿宋_GBK"/>
          <w:sz w:val="32"/>
          <w:szCs w:val="32"/>
          <w:lang w:val="en-US" w:eastAsia="zh-CN"/>
        </w:rPr>
        <w:t xml:space="preserve">  为了进一步规范公共资源交易平台信息发布行为，提高公共资源交易活动的透明度和公信力，根据《中华人民共和国政府信息公开条例》、《公共资源交易平台管理暂行办法》（国家发展改革委等</w:t>
      </w:r>
      <w:r>
        <w:rPr>
          <w:rFonts w:hint="eastAsia" w:ascii="Times New Roman" w:hAnsi="Times New Roman" w:eastAsia="方正仿宋_GBK" w:cs="Times New Roman"/>
          <w:sz w:val="32"/>
          <w:szCs w:val="32"/>
          <w:lang w:val="en-US" w:eastAsia="zh-CN"/>
        </w:rPr>
        <w:t>14部委第39号令</w:t>
      </w:r>
      <w:r>
        <w:rPr>
          <w:rFonts w:hint="eastAsia" w:ascii="方正仿宋_GBK" w:hAnsi="方正仿宋_GBK" w:eastAsia="方正仿宋_GBK" w:cs="方正仿宋_GBK"/>
          <w:sz w:val="32"/>
          <w:szCs w:val="32"/>
          <w:lang w:val="en-US" w:eastAsia="zh-CN"/>
        </w:rPr>
        <w:t>）、</w:t>
      </w:r>
      <w:r>
        <w:rPr>
          <w:rFonts w:hint="eastAsia" w:ascii="Times New Roman" w:hAnsi="Times New Roman" w:eastAsia="方正仿宋_GBK" w:cs="Times New Roman"/>
          <w:sz w:val="32"/>
          <w:szCs w:val="32"/>
          <w:lang w:val="en-US" w:eastAsia="zh-CN"/>
        </w:rPr>
        <w:t>《省政府办公厅关于推进公共资源配置领域政府信息公开的实施意见》（苏政办发〔2018〕50号）等</w:t>
      </w:r>
      <w:r>
        <w:rPr>
          <w:rFonts w:hint="eastAsia" w:ascii="方正仿宋_GBK" w:hAnsi="方正仿宋_GBK" w:eastAsia="方正仿宋_GBK" w:cs="方正仿宋_GBK"/>
          <w:sz w:val="32"/>
          <w:szCs w:val="32"/>
          <w:lang w:val="en-US" w:eastAsia="zh-CN"/>
        </w:rPr>
        <w:t>，结合我省实际，制定本规定。</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黑体_GBK" w:hAnsi="方正黑体_GBK" w:eastAsia="方正黑体_GBK" w:cs="方正黑体_GBK"/>
          <w:sz w:val="32"/>
          <w:szCs w:val="32"/>
          <w:lang w:val="en-US" w:eastAsia="zh-CN"/>
        </w:rPr>
        <w:t>第二条</w:t>
      </w:r>
      <w:r>
        <w:rPr>
          <w:rFonts w:hint="eastAsia" w:ascii="方正仿宋_GBK" w:hAnsi="方正仿宋_GBK" w:eastAsia="方正仿宋_GBK" w:cs="方正仿宋_GBK"/>
          <w:sz w:val="32"/>
          <w:szCs w:val="32"/>
          <w:lang w:val="en-US" w:eastAsia="zh-CN"/>
        </w:rPr>
        <w:t xml:space="preserve">  纳入《江苏省</w:t>
      </w:r>
      <w:r>
        <w:rPr>
          <w:rFonts w:hint="eastAsia" w:ascii="方正仿宋_GBK" w:hAnsi="方正仿宋_GBK" w:eastAsia="方正仿宋_GBK" w:cs="方正仿宋_GBK"/>
          <w:sz w:val="32"/>
          <w:szCs w:val="32"/>
          <w:u w:val="none"/>
          <w:lang w:val="en-US" w:eastAsia="zh-CN"/>
        </w:rPr>
        <w:t>公共资源交易目录</w:t>
      </w:r>
      <w:r>
        <w:rPr>
          <w:rFonts w:hint="eastAsia" w:ascii="方正仿宋_GBK" w:hAnsi="方正仿宋_GBK" w:eastAsia="方正仿宋_GBK" w:cs="方正仿宋_GBK"/>
          <w:sz w:val="32"/>
          <w:szCs w:val="32"/>
          <w:lang w:val="en-US" w:eastAsia="zh-CN"/>
        </w:rPr>
        <w:t>》管理的公共资源交易项目相关交易</w:t>
      </w:r>
      <w:r>
        <w:rPr>
          <w:rFonts w:hint="eastAsia" w:ascii="方正仿宋_GBK" w:hAnsi="方正仿宋_GBK" w:eastAsia="方正仿宋_GBK" w:cs="方正仿宋_GBK"/>
          <w:sz w:val="32"/>
          <w:szCs w:val="32"/>
          <w:u w:val="none"/>
          <w:lang w:val="en-US" w:eastAsia="zh-CN"/>
        </w:rPr>
        <w:t>信息</w:t>
      </w:r>
      <w:r>
        <w:rPr>
          <w:rFonts w:hint="eastAsia" w:ascii="方正仿宋_GBK" w:hAnsi="方正仿宋_GBK" w:eastAsia="方正仿宋_GBK" w:cs="方正仿宋_GBK"/>
          <w:sz w:val="32"/>
          <w:szCs w:val="32"/>
          <w:lang w:val="en-US" w:eastAsia="zh-CN"/>
        </w:rPr>
        <w:t>、监管信息</w:t>
      </w:r>
      <w:r>
        <w:rPr>
          <w:rFonts w:hint="eastAsia" w:ascii="方正仿宋_GBK" w:hAnsi="方正仿宋_GBK" w:eastAsia="方正仿宋_GBK" w:cs="方正仿宋_GBK"/>
          <w:sz w:val="32"/>
          <w:szCs w:val="32"/>
          <w:u w:val="none"/>
          <w:lang w:val="en-US" w:eastAsia="zh-CN"/>
        </w:rPr>
        <w:t>，以及公共资源交易领域</w:t>
      </w:r>
      <w:r>
        <w:rPr>
          <w:rFonts w:hint="eastAsia" w:ascii="方正仿宋_GBK" w:hAnsi="方正仿宋_GBK" w:eastAsia="方正仿宋_GBK" w:cs="方正仿宋_GBK"/>
          <w:sz w:val="32"/>
          <w:szCs w:val="32"/>
          <w:lang w:val="en-US" w:eastAsia="zh-CN"/>
        </w:rPr>
        <w:t>政策信息和收费公示信息等</w:t>
      </w:r>
      <w:r>
        <w:rPr>
          <w:rFonts w:hint="eastAsia" w:ascii="方正仿宋_GBK" w:hAnsi="方正仿宋_GBK" w:eastAsia="方正仿宋_GBK" w:cs="方正仿宋_GBK"/>
          <w:sz w:val="32"/>
          <w:szCs w:val="32"/>
          <w:u w:val="none"/>
          <w:lang w:val="en-US" w:eastAsia="zh-CN"/>
        </w:rPr>
        <w:t>发布活动</w:t>
      </w:r>
      <w:r>
        <w:rPr>
          <w:rFonts w:hint="eastAsia" w:ascii="方正仿宋_GBK" w:hAnsi="方正仿宋_GBK" w:eastAsia="方正仿宋_GBK" w:cs="方正仿宋_GBK"/>
          <w:sz w:val="32"/>
          <w:szCs w:val="32"/>
          <w:lang w:val="en-US" w:eastAsia="zh-CN"/>
        </w:rPr>
        <w:t>，适用本规定。</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黑体_GBK" w:hAnsi="方正黑体_GBK" w:eastAsia="方正黑体_GBK" w:cs="方正黑体_GBK"/>
          <w:sz w:val="32"/>
          <w:szCs w:val="32"/>
          <w:lang w:val="en-US" w:eastAsia="zh-CN"/>
        </w:rPr>
        <w:t>第三条</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highlight w:val="none"/>
          <w:lang w:val="en-US" w:eastAsia="zh-CN"/>
        </w:rPr>
        <w:t xml:space="preserve"> </w:t>
      </w:r>
      <w:r>
        <w:rPr>
          <w:rFonts w:hint="eastAsia" w:ascii="方正仿宋_GBK" w:hAnsi="方正仿宋_GBK" w:eastAsia="方正仿宋_GBK" w:cs="方正仿宋_GBK"/>
          <w:sz w:val="32"/>
          <w:szCs w:val="32"/>
          <w:lang w:val="en-US" w:eastAsia="zh-CN"/>
        </w:rPr>
        <w:t>省、设区市数据主管部门负责指导和协调本级公共资源交易平台信息发布工作。</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各级招标投标、财政、国土资源、国有资产等行政监督管理部门（以下简称行政监督管理部门）按照规定的职责分工，负责对本行业、本领域公共资源交易信息发布活动进行监督管理。</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省、设区市公共资源交易中心负责建设和运行维护本级公共资源交易平台。</w:t>
      </w:r>
    </w:p>
    <w:p>
      <w:pPr>
        <w:keepNext w:val="0"/>
        <w:keepLines w:val="0"/>
        <w:pageBreakBefore w:val="0"/>
        <w:widowControl w:val="0"/>
        <w:kinsoku/>
        <w:wordWrap/>
        <w:overflowPunct w:val="0"/>
        <w:topLinePunct w:val="0"/>
        <w:autoSpaceDE/>
        <w:autoSpaceDN/>
        <w:bidi w:val="0"/>
        <w:adjustRightInd/>
        <w:snapToGrid/>
        <w:spacing w:line="590" w:lineRule="exact"/>
        <w:jc w:val="both"/>
        <w:textAlignment w:val="auto"/>
        <w:rPr>
          <w:rFonts w:hint="eastAsia" w:ascii="方正仿宋_GBK" w:hAnsi="方正仿宋_GBK" w:eastAsia="方正仿宋_GBK" w:cs="方正仿宋_GBK"/>
          <w:sz w:val="32"/>
          <w:szCs w:val="32"/>
          <w:highlight w:val="yellow"/>
          <w:lang w:val="en-US" w:eastAsia="zh-CN"/>
        </w:rPr>
      </w:pPr>
    </w:p>
    <w:p>
      <w:pPr>
        <w:keepNext w:val="0"/>
        <w:keepLines w:val="0"/>
        <w:pageBreakBefore w:val="0"/>
        <w:widowControl w:val="0"/>
        <w:kinsoku/>
        <w:wordWrap/>
        <w:overflowPunct w:val="0"/>
        <w:topLinePunct w:val="0"/>
        <w:autoSpaceDE/>
        <w:autoSpaceDN/>
        <w:bidi w:val="0"/>
        <w:adjustRightInd/>
        <w:snapToGrid/>
        <w:spacing w:line="590" w:lineRule="exact"/>
        <w:jc w:val="center"/>
        <w:textAlignment w:val="auto"/>
        <w:rPr>
          <w:rFonts w:hint="default"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第二章  交易信息发布</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黑体_GBK" w:hAnsi="方正黑体_GBK" w:eastAsia="方正黑体_GBK" w:cs="方正黑体_GBK"/>
          <w:sz w:val="32"/>
          <w:szCs w:val="32"/>
          <w:lang w:val="en-US" w:eastAsia="zh-CN"/>
        </w:rPr>
        <w:t xml:space="preserve">第四条 </w:t>
      </w:r>
      <w:r>
        <w:rPr>
          <w:rFonts w:hint="eastAsia" w:ascii="方正仿宋_GBK" w:hAnsi="方正仿宋_GBK" w:eastAsia="方正仿宋_GBK" w:cs="方正仿宋_GBK"/>
          <w:sz w:val="32"/>
          <w:szCs w:val="32"/>
          <w:lang w:val="en-US" w:eastAsia="zh-CN"/>
        </w:rPr>
        <w:t xml:space="preserve"> 江苏省公共资源交易平台</w:t>
      </w:r>
      <w:r>
        <w:rPr>
          <w:rFonts w:hint="default" w:ascii="Times New Roman" w:hAnsi="Times New Roman" w:eastAsia="方正仿宋_GBK" w:cs="Times New Roman"/>
          <w:spacing w:val="-20"/>
          <w:sz w:val="32"/>
          <w:szCs w:val="32"/>
          <w:lang w:val="en-US" w:eastAsia="zh-CN"/>
        </w:rPr>
        <w:t>（http://jsggzy.jszwfw.gov.cn/）</w:t>
      </w:r>
      <w:r>
        <w:rPr>
          <w:rFonts w:hint="eastAsia" w:ascii="方正仿宋_GBK" w:hAnsi="方正仿宋_GBK" w:eastAsia="方正仿宋_GBK" w:cs="方正仿宋_GBK"/>
          <w:sz w:val="32"/>
          <w:szCs w:val="32"/>
          <w:lang w:val="en-US" w:eastAsia="zh-CN"/>
        </w:rPr>
        <w:t>是全省公共资源交易信息的综合发布媒介，</w:t>
      </w:r>
      <w:r>
        <w:rPr>
          <w:rFonts w:hint="eastAsia" w:ascii="方正仿宋_GBK" w:hAnsi="方正仿宋_GBK" w:eastAsia="方正仿宋_GBK" w:cs="方正仿宋_GBK"/>
          <w:sz w:val="32"/>
          <w:szCs w:val="32"/>
          <w:highlight w:val="none"/>
          <w:lang w:val="en-US" w:eastAsia="zh-CN"/>
        </w:rPr>
        <w:t>应当按照有关数据规范，归集各行业指定媒</w:t>
      </w:r>
      <w:r>
        <w:rPr>
          <w:rFonts w:hint="eastAsia" w:ascii="方正仿宋_GBK" w:hAnsi="方正仿宋_GBK" w:eastAsia="方正仿宋_GBK" w:cs="方正仿宋_GBK"/>
          <w:sz w:val="32"/>
          <w:szCs w:val="32"/>
          <w:lang w:val="en-US" w:eastAsia="zh-CN"/>
        </w:rPr>
        <w:t>介、设区市公共资源交易平台的交易信息，并实时交互至全国公共资源交易平台。</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江苏省公共资源交易平台应当向省公共数据平台汇聚全省公共资源交易信息数据。</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黑体_GBK" w:hAnsi="方正黑体_GBK" w:eastAsia="方正黑体_GBK" w:cs="方正黑体_GBK"/>
          <w:sz w:val="32"/>
          <w:szCs w:val="32"/>
          <w:lang w:val="en-US" w:eastAsia="zh-CN"/>
        </w:rPr>
        <w:t>第五条</w:t>
      </w:r>
      <w:r>
        <w:rPr>
          <w:rFonts w:hint="eastAsia" w:ascii="方正仿宋_GBK" w:hAnsi="方正仿宋_GBK" w:eastAsia="方正仿宋_GBK" w:cs="方正仿宋_GBK"/>
          <w:sz w:val="32"/>
          <w:szCs w:val="32"/>
          <w:lang w:val="en-US" w:eastAsia="zh-CN"/>
        </w:rPr>
        <w:t xml:space="preserve">  各行业指定媒介、设区市公共资源交易平台要完整、准确、及时地向江苏省公共资源交易平台推送本行业、本区域公共资源交易信息。</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省大数据管理中心支持各行业指定媒介通过省公共数据平台推送本行业公共资源交易信息。</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黑体_GBK" w:hAnsi="方正黑体_GBK" w:eastAsia="方正黑体_GBK" w:cs="方正黑体_GBK"/>
          <w:sz w:val="32"/>
          <w:szCs w:val="32"/>
          <w:lang w:val="en-US" w:eastAsia="zh-CN"/>
        </w:rPr>
        <w:t>第六条</w:t>
      </w:r>
      <w:r>
        <w:rPr>
          <w:rFonts w:hint="eastAsia" w:ascii="方正仿宋_GBK" w:hAnsi="方正仿宋_GBK" w:eastAsia="方正仿宋_GBK" w:cs="方正仿宋_GBK"/>
          <w:sz w:val="32"/>
          <w:szCs w:val="32"/>
          <w:lang w:val="en-US" w:eastAsia="zh-CN"/>
        </w:rPr>
        <w:t xml:space="preserve">  除依法需要保密或者涉及商业秘密的内容外，公共资源交易信息应当按照公益服务、公开透明、高效便捷、集中共享的原则，依法向社会公开。</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highlight w:val="none"/>
          <w:u w:val="none"/>
          <w:lang w:val="en-US" w:eastAsia="zh-CN"/>
        </w:rPr>
      </w:pPr>
      <w:r>
        <w:rPr>
          <w:rFonts w:hint="eastAsia" w:ascii="方正黑体_GBK" w:hAnsi="方正黑体_GBK" w:eastAsia="方正黑体_GBK" w:cs="方正黑体_GBK"/>
          <w:strike w:val="0"/>
          <w:dstrike w:val="0"/>
          <w:sz w:val="32"/>
          <w:szCs w:val="32"/>
          <w:highlight w:val="none"/>
          <w:u w:val="none"/>
          <w:lang w:val="en-US" w:eastAsia="zh-CN"/>
        </w:rPr>
        <w:t>第七条</w:t>
      </w:r>
      <w:r>
        <w:rPr>
          <w:rFonts w:hint="eastAsia" w:ascii="方正仿宋_GBK" w:hAnsi="方正仿宋_GBK" w:eastAsia="方正仿宋_GBK" w:cs="方正仿宋_GBK"/>
          <w:strike w:val="0"/>
          <w:dstrike w:val="0"/>
          <w:sz w:val="32"/>
          <w:szCs w:val="32"/>
          <w:highlight w:val="none"/>
          <w:u w:val="none"/>
          <w:lang w:val="en-US" w:eastAsia="zh-CN"/>
        </w:rPr>
        <w:t xml:space="preserve">  </w:t>
      </w:r>
      <w:r>
        <w:rPr>
          <w:rFonts w:hint="eastAsia" w:ascii="方正仿宋_GBK" w:hAnsi="方正仿宋_GBK" w:eastAsia="方正仿宋_GBK" w:cs="方正仿宋_GBK"/>
          <w:sz w:val="32"/>
          <w:szCs w:val="32"/>
          <w:highlight w:val="none"/>
          <w:u w:val="none"/>
          <w:lang w:val="en-US" w:eastAsia="zh-CN"/>
        </w:rPr>
        <w:t>公共资源交易信息的发布主体（以下简称交易信息发布主体）为招标人（采购人）、出让人（转让人）或其委托的代理机构。代理机构应当在招标人（采购人）、出让人（转让人）委托的范围内办理公共资源交易信息发布事宜。</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黑体_GBK" w:hAnsi="方正黑体_GBK" w:eastAsia="方正黑体_GBK" w:cs="方正黑体_GBK"/>
          <w:strike w:val="0"/>
          <w:dstrike w:val="0"/>
          <w:sz w:val="32"/>
          <w:szCs w:val="32"/>
          <w:highlight w:val="none"/>
          <w:u w:val="none"/>
          <w:lang w:val="en-US" w:eastAsia="zh-CN"/>
        </w:rPr>
        <w:t>第八条</w:t>
      </w:r>
      <w:r>
        <w:rPr>
          <w:rFonts w:hint="eastAsia" w:ascii="方正仿宋_GBK" w:hAnsi="方正仿宋_GBK" w:eastAsia="方正仿宋_GBK" w:cs="方正仿宋_GBK"/>
          <w:sz w:val="32"/>
          <w:szCs w:val="32"/>
          <w:lang w:val="en-US" w:eastAsia="zh-CN"/>
        </w:rPr>
        <w:t xml:space="preserve">  交易信息发布主体应当遵循合法规范、真实完整、及时准确、便于获取的原则，按照规定的程序和时限发布交易信息，并对所</w:t>
      </w:r>
      <w:r>
        <w:rPr>
          <w:rFonts w:hint="eastAsia" w:ascii="方正仿宋_GBK" w:hAnsi="方正仿宋_GBK" w:eastAsia="方正仿宋_GBK" w:cs="方正仿宋_GBK"/>
          <w:sz w:val="32"/>
          <w:szCs w:val="32"/>
          <w:highlight w:val="none"/>
          <w:lang w:val="en-US" w:eastAsia="zh-CN"/>
        </w:rPr>
        <w:t>发布信息的真实性、准确性、合法性负责，不得有虚假和误导性陈述，不得遗漏依法必须公开的事项。</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trike w:val="0"/>
          <w:dstrike w:val="0"/>
          <w:sz w:val="32"/>
          <w:szCs w:val="32"/>
          <w:highlight w:val="none"/>
          <w:u w:val="none"/>
          <w:lang w:val="en-US" w:eastAsia="zh-CN"/>
        </w:rPr>
      </w:pPr>
      <w:r>
        <w:rPr>
          <w:rFonts w:hint="eastAsia" w:ascii="方正黑体_GBK" w:hAnsi="方正黑体_GBK" w:eastAsia="方正黑体_GBK" w:cs="方正黑体_GBK"/>
          <w:sz w:val="32"/>
          <w:szCs w:val="32"/>
          <w:lang w:val="en-US" w:eastAsia="zh-CN"/>
        </w:rPr>
        <w:t>第九条</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highlight w:val="none"/>
          <w:lang w:val="en-US" w:eastAsia="zh-CN"/>
        </w:rPr>
        <w:t>工程建设项目招标投标信息包括招标计划（如有）、资格预审公告、招标公告、资格审查结果（被拒绝申请人未通过原因等）、可以公开的评标情况、中标候选人公示、中标结果等，相关信息</w:t>
      </w:r>
      <w:r>
        <w:rPr>
          <w:rFonts w:hint="eastAsia" w:ascii="方正仿宋_GBK" w:hAnsi="方正仿宋_GBK" w:eastAsia="方正仿宋_GBK" w:cs="方正仿宋_GBK"/>
          <w:strike w:val="0"/>
          <w:dstrike w:val="0"/>
          <w:sz w:val="32"/>
          <w:szCs w:val="32"/>
          <w:highlight w:val="none"/>
          <w:u w:val="none"/>
          <w:lang w:val="en-US" w:eastAsia="zh-CN"/>
        </w:rPr>
        <w:t>在公共资源交易平台发布。</w:t>
      </w:r>
    </w:p>
    <w:p>
      <w:pPr>
        <w:keepNext w:val="0"/>
        <w:keepLines w:val="0"/>
        <w:pageBreakBefore w:val="0"/>
        <w:widowControl/>
        <w:suppressLineNumbers w:val="0"/>
        <w:kinsoku/>
        <w:wordWrap/>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highlight w:val="none"/>
          <w:lang w:val="en-US" w:eastAsia="zh-CN"/>
        </w:rPr>
      </w:pPr>
      <w:r>
        <w:rPr>
          <w:rFonts w:hint="eastAsia" w:ascii="方正黑体_GBK" w:hAnsi="方正黑体_GBK" w:eastAsia="方正黑体_GBK" w:cs="方正黑体_GBK"/>
          <w:sz w:val="32"/>
          <w:szCs w:val="32"/>
          <w:lang w:val="en-US" w:eastAsia="zh-CN"/>
        </w:rPr>
        <w:t>第十条</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highlight w:val="none"/>
          <w:lang w:val="en-US" w:eastAsia="zh-CN"/>
        </w:rPr>
        <w:t>政府采购项目信息包括采购意向公告、采购公告、采购文件、采购结果、采购合同等，相关信息通过江苏政府采购网</w:t>
      </w:r>
      <w:r>
        <w:rPr>
          <w:rFonts w:hint="eastAsia" w:ascii="方正仿宋_GBK" w:hAnsi="方正仿宋_GBK" w:eastAsia="方正仿宋_GBK" w:cs="方正仿宋_GBK"/>
          <w:strike w:val="0"/>
          <w:dstrike w:val="0"/>
          <w:sz w:val="32"/>
          <w:szCs w:val="32"/>
          <w:highlight w:val="none"/>
          <w:u w:val="none"/>
          <w:lang w:val="en-US" w:eastAsia="zh-CN"/>
        </w:rPr>
        <w:t>推送至江苏省公共资源交易平台。</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highlight w:val="none"/>
          <w:lang w:val="en-US" w:eastAsia="zh-CN"/>
        </w:rPr>
      </w:pPr>
      <w:r>
        <w:rPr>
          <w:rFonts w:hint="eastAsia" w:ascii="方正黑体_GBK" w:hAnsi="方正黑体_GBK" w:eastAsia="方正黑体_GBK" w:cs="方正黑体_GBK"/>
          <w:sz w:val="32"/>
          <w:szCs w:val="32"/>
          <w:highlight w:val="none"/>
          <w:lang w:val="en-US" w:eastAsia="zh-CN"/>
        </w:rPr>
        <w:t>第十一条</w:t>
      </w:r>
      <w:r>
        <w:rPr>
          <w:rFonts w:hint="eastAsia" w:ascii="方正仿宋_GBK" w:hAnsi="方正仿宋_GBK" w:eastAsia="方正仿宋_GBK" w:cs="方正仿宋_GBK"/>
          <w:sz w:val="32"/>
          <w:szCs w:val="32"/>
          <w:highlight w:val="none"/>
          <w:lang w:val="en-US" w:eastAsia="zh-CN"/>
        </w:rPr>
        <w:t xml:space="preserve">  国有土地使用权交易信息包括招标拍卖挂牌出让公告、公告调整、招标拍卖挂牌出让结果（成交公示）等，相关信息通过江苏土地市场网</w:t>
      </w:r>
      <w:r>
        <w:rPr>
          <w:rFonts w:hint="eastAsia" w:ascii="方正仿宋_GBK" w:hAnsi="方正仿宋_GBK" w:eastAsia="方正仿宋_GBK" w:cs="方正仿宋_GBK"/>
          <w:strike w:val="0"/>
          <w:dstrike w:val="0"/>
          <w:sz w:val="32"/>
          <w:szCs w:val="32"/>
          <w:highlight w:val="none"/>
          <w:u w:val="none"/>
          <w:lang w:val="en-US" w:eastAsia="zh-CN"/>
        </w:rPr>
        <w:t>推送至江苏省公共资源交易平台。</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trike w:val="0"/>
          <w:dstrike w:val="0"/>
          <w:sz w:val="32"/>
          <w:szCs w:val="32"/>
          <w:highlight w:val="none"/>
          <w:u w:val="none"/>
          <w:lang w:val="en-US" w:eastAsia="zh-CN"/>
        </w:rPr>
      </w:pPr>
      <w:r>
        <w:rPr>
          <w:rFonts w:hint="eastAsia" w:ascii="方正黑体_GBK" w:hAnsi="方正黑体_GBK" w:eastAsia="方正黑体_GBK" w:cs="方正黑体_GBK"/>
          <w:sz w:val="32"/>
          <w:szCs w:val="32"/>
          <w:lang w:val="en-US" w:eastAsia="zh-CN"/>
        </w:rPr>
        <w:t>第十二条</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highlight w:val="none"/>
          <w:lang w:val="en-US" w:eastAsia="zh-CN"/>
        </w:rPr>
        <w:t>矿业权交易信息包括招标拍卖挂牌出让公告、成交结果公示等，相关信息</w:t>
      </w:r>
      <w:r>
        <w:rPr>
          <w:rFonts w:hint="eastAsia" w:ascii="方正仿宋_GBK" w:hAnsi="方正仿宋_GBK" w:eastAsia="方正仿宋_GBK" w:cs="方正仿宋_GBK"/>
          <w:strike w:val="0"/>
          <w:dstrike w:val="0"/>
          <w:sz w:val="32"/>
          <w:szCs w:val="32"/>
          <w:highlight w:val="none"/>
          <w:u w:val="none"/>
          <w:lang w:val="en-US" w:eastAsia="zh-CN"/>
        </w:rPr>
        <w:t>在公共资源交易平台发布。</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trike w:val="0"/>
          <w:dstrike w:val="0"/>
          <w:sz w:val="32"/>
          <w:szCs w:val="32"/>
          <w:highlight w:val="none"/>
          <w:u w:val="none"/>
          <w:lang w:val="en-US" w:eastAsia="zh-CN"/>
        </w:rPr>
      </w:pPr>
      <w:r>
        <w:rPr>
          <w:rFonts w:hint="eastAsia" w:ascii="方正黑体_GBK" w:hAnsi="方正黑体_GBK" w:eastAsia="方正黑体_GBK" w:cs="方正黑体_GBK"/>
          <w:sz w:val="32"/>
          <w:szCs w:val="32"/>
          <w:lang w:val="en-US" w:eastAsia="zh-CN"/>
        </w:rPr>
        <w:t>第十三条</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highlight w:val="none"/>
          <w:lang w:val="en-US" w:eastAsia="zh-CN"/>
        </w:rPr>
        <w:t>国有产权交易信息包括转让公告、成交公示、成交结果等。国有产权交易在依法设立的产权交易机构进行的，相关信息通过产权交易机构网站推送至</w:t>
      </w:r>
      <w:r>
        <w:rPr>
          <w:rFonts w:hint="eastAsia" w:ascii="方正仿宋_GBK" w:hAnsi="方正仿宋_GBK" w:eastAsia="方正仿宋_GBK" w:cs="方正仿宋_GBK"/>
          <w:strike w:val="0"/>
          <w:dstrike w:val="0"/>
          <w:sz w:val="32"/>
          <w:szCs w:val="32"/>
          <w:highlight w:val="none"/>
          <w:u w:val="none"/>
          <w:lang w:val="en-US" w:eastAsia="zh-CN"/>
        </w:rPr>
        <w:t>公共资源交易平台；在公共资源交易中心进行的，相关信息在公共资源交易平台发布。</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highlight w:val="none"/>
          <w:u w:val="none"/>
          <w:lang w:val="en-US" w:eastAsia="zh-CN"/>
        </w:rPr>
      </w:pPr>
      <w:r>
        <w:rPr>
          <w:rFonts w:hint="eastAsia" w:ascii="方正黑体_GBK" w:hAnsi="方正黑体_GBK" w:eastAsia="方正黑体_GBK" w:cs="方正黑体_GBK"/>
          <w:sz w:val="32"/>
          <w:szCs w:val="32"/>
          <w:highlight w:val="none"/>
          <w:u w:val="none"/>
          <w:lang w:val="en-US" w:eastAsia="zh-CN"/>
        </w:rPr>
        <w:t>第十四条</w:t>
      </w:r>
      <w:r>
        <w:rPr>
          <w:rFonts w:hint="eastAsia" w:ascii="方正仿宋_GBK" w:hAnsi="方正仿宋_GBK" w:eastAsia="方正仿宋_GBK" w:cs="方正仿宋_GBK"/>
          <w:sz w:val="32"/>
          <w:szCs w:val="32"/>
          <w:highlight w:val="none"/>
          <w:u w:val="none"/>
          <w:lang w:val="en-US" w:eastAsia="zh-CN"/>
        </w:rPr>
        <w:t xml:space="preserve">  </w:t>
      </w:r>
      <w:bookmarkStart w:id="0" w:name="OLE_LINK1"/>
      <w:bookmarkStart w:id="1" w:name="OLE_LINK2"/>
      <w:r>
        <w:rPr>
          <w:rFonts w:hint="eastAsia" w:ascii="方正仿宋_GBK" w:hAnsi="方正仿宋_GBK" w:eastAsia="方正仿宋_GBK" w:cs="方正仿宋_GBK"/>
          <w:sz w:val="32"/>
          <w:szCs w:val="32"/>
          <w:highlight w:val="none"/>
          <w:u w:val="none"/>
          <w:lang w:val="en-US" w:eastAsia="zh-CN"/>
        </w:rPr>
        <w:t>药品、医用耗材阳光采购信息包括定期受理的产品阳光挂网公示公布、信息变更等，</w:t>
      </w:r>
      <w:bookmarkEnd w:id="0"/>
      <w:bookmarkEnd w:id="1"/>
      <w:r>
        <w:rPr>
          <w:rFonts w:hint="eastAsia" w:ascii="方正仿宋_GBK" w:hAnsi="方正仿宋_GBK" w:eastAsia="方正仿宋_GBK" w:cs="方正仿宋_GBK"/>
          <w:sz w:val="32"/>
          <w:szCs w:val="32"/>
          <w:highlight w:val="none"/>
          <w:u w:val="none"/>
          <w:lang w:val="en-US" w:eastAsia="zh-CN"/>
        </w:rPr>
        <w:t>疫苗集中采购信息包括采购文件、公告等，相关信息在江苏省公共资源交易平台发布。</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highlight w:val="none"/>
          <w:lang w:val="en-US" w:eastAsia="zh-CN"/>
        </w:rPr>
      </w:pPr>
      <w:r>
        <w:rPr>
          <w:rFonts w:hint="eastAsia" w:ascii="方正黑体_GBK" w:hAnsi="方正黑体_GBK" w:eastAsia="方正黑体_GBK" w:cs="方正黑体_GBK"/>
          <w:sz w:val="32"/>
          <w:szCs w:val="32"/>
          <w:lang w:val="en-US" w:eastAsia="zh-CN"/>
        </w:rPr>
        <w:t>第十五条</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highlight w:val="none"/>
          <w:lang w:val="en-US" w:eastAsia="zh-CN"/>
        </w:rPr>
        <w:t>排污权交易信息包括交易公告、补充公告、交易结果公示等，相关信息通过江苏省排污权交易平台</w:t>
      </w:r>
      <w:r>
        <w:rPr>
          <w:rFonts w:hint="eastAsia" w:ascii="方正仿宋_GBK" w:hAnsi="方正仿宋_GBK" w:eastAsia="方正仿宋_GBK" w:cs="方正仿宋_GBK"/>
          <w:strike w:val="0"/>
          <w:dstrike w:val="0"/>
          <w:sz w:val="32"/>
          <w:szCs w:val="32"/>
          <w:highlight w:val="none"/>
          <w:u w:val="none"/>
          <w:lang w:val="en-US" w:eastAsia="zh-CN"/>
        </w:rPr>
        <w:t>推送至江苏省公共资源交易平台。</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highlight w:val="none"/>
          <w:lang w:val="en-US" w:eastAsia="zh-CN"/>
        </w:rPr>
      </w:pPr>
      <w:r>
        <w:rPr>
          <w:rFonts w:hint="eastAsia" w:ascii="方正黑体_GBK" w:hAnsi="方正黑体_GBK" w:eastAsia="方正黑体_GBK" w:cs="方正黑体_GBK"/>
          <w:sz w:val="32"/>
          <w:szCs w:val="32"/>
          <w:lang w:val="en-US" w:eastAsia="zh-CN"/>
        </w:rPr>
        <w:t>第十六条</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highlight w:val="none"/>
          <w:lang w:val="en-US" w:eastAsia="zh-CN"/>
        </w:rPr>
        <w:t>农村集体产权交易信息包括交易公告、补充公告、交易结果公示等，相关信息通过江苏省农村产权交易信息服务平台</w:t>
      </w:r>
      <w:r>
        <w:rPr>
          <w:rFonts w:hint="eastAsia" w:ascii="方正仿宋_GBK" w:hAnsi="方正仿宋_GBK" w:eastAsia="方正仿宋_GBK" w:cs="方正仿宋_GBK"/>
          <w:strike w:val="0"/>
          <w:dstrike w:val="0"/>
          <w:sz w:val="32"/>
          <w:szCs w:val="32"/>
          <w:highlight w:val="none"/>
          <w:u w:val="none"/>
          <w:lang w:val="en-US" w:eastAsia="zh-CN"/>
        </w:rPr>
        <w:t>推送至江苏省公共资源交易平台。</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highlight w:val="none"/>
          <w:u w:val="none"/>
          <w:lang w:val="en-US" w:eastAsia="zh-CN"/>
        </w:rPr>
      </w:pPr>
      <w:r>
        <w:rPr>
          <w:rFonts w:hint="eastAsia" w:ascii="方正黑体_GBK" w:hAnsi="方正黑体_GBK" w:eastAsia="方正黑体_GBK" w:cs="方正黑体_GBK"/>
          <w:sz w:val="32"/>
          <w:szCs w:val="32"/>
          <w:highlight w:val="none"/>
          <w:u w:val="none"/>
          <w:lang w:val="en-US" w:eastAsia="zh-CN"/>
        </w:rPr>
        <w:t>第十七条</w:t>
      </w:r>
      <w:r>
        <w:rPr>
          <w:rFonts w:hint="eastAsia" w:ascii="方正仿宋_GBK" w:hAnsi="方正仿宋_GBK" w:eastAsia="方正仿宋_GBK" w:cs="方正仿宋_GBK"/>
          <w:sz w:val="32"/>
          <w:szCs w:val="32"/>
          <w:highlight w:val="none"/>
          <w:u w:val="none"/>
          <w:lang w:val="en-US" w:eastAsia="zh-CN"/>
        </w:rPr>
        <w:t xml:space="preserve">  供销合作社社有资产交易信息包括转让公告、成交公示、成交结果等。鼓励供销合作社社有资产交易在依法设立的产权交易机构进行，相关信息通过产权交易机构网站推送至</w:t>
      </w:r>
      <w:r>
        <w:rPr>
          <w:rFonts w:hint="eastAsia" w:ascii="方正仿宋_GBK" w:hAnsi="方正仿宋_GBK" w:eastAsia="方正仿宋_GBK" w:cs="方正仿宋_GBK"/>
          <w:strike w:val="0"/>
          <w:dstrike w:val="0"/>
          <w:sz w:val="32"/>
          <w:szCs w:val="32"/>
          <w:highlight w:val="none"/>
          <w:u w:val="none"/>
          <w:lang w:val="en-US" w:eastAsia="zh-CN"/>
        </w:rPr>
        <w:t>公共资源交易平台。</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trike w:val="0"/>
          <w:dstrike w:val="0"/>
          <w:sz w:val="32"/>
          <w:szCs w:val="32"/>
          <w:highlight w:val="none"/>
          <w:u w:val="none"/>
          <w:lang w:val="en-US" w:eastAsia="zh-CN"/>
        </w:rPr>
      </w:pPr>
      <w:r>
        <w:rPr>
          <w:rFonts w:hint="eastAsia" w:ascii="方正黑体_GBK" w:hAnsi="方正黑体_GBK" w:eastAsia="方正黑体_GBK" w:cs="方正黑体_GBK"/>
          <w:sz w:val="32"/>
          <w:szCs w:val="32"/>
          <w:u w:val="none"/>
          <w:lang w:val="en-US" w:eastAsia="zh-CN"/>
        </w:rPr>
        <w:t>第十八条</w:t>
      </w:r>
      <w:r>
        <w:rPr>
          <w:rFonts w:hint="eastAsia" w:ascii="方正仿宋_GBK" w:hAnsi="方正仿宋_GBK" w:eastAsia="方正仿宋_GBK" w:cs="方正仿宋_GBK"/>
          <w:sz w:val="32"/>
          <w:szCs w:val="32"/>
          <w:highlight w:val="none"/>
          <w:u w:val="none"/>
          <w:lang w:val="en-US" w:eastAsia="zh-CN"/>
        </w:rPr>
        <w:t xml:space="preserve">  按照有关规定，其他应当纳入公共资源交易平台体系的公共资源交易项目，</w:t>
      </w:r>
      <w:r>
        <w:rPr>
          <w:rFonts w:hint="eastAsia" w:ascii="方正仿宋_GBK" w:hAnsi="方正仿宋_GBK" w:eastAsia="方正仿宋_GBK" w:cs="方正仿宋_GBK"/>
          <w:strike w:val="0"/>
          <w:dstrike w:val="0"/>
          <w:sz w:val="32"/>
          <w:szCs w:val="32"/>
          <w:highlight w:val="none"/>
          <w:u w:val="none"/>
          <w:lang w:val="en-US" w:eastAsia="zh-CN"/>
        </w:rPr>
        <w:t>交易信息发布主体在行业指定媒介发布公共资源交易信息的，行业指定媒介要将相关信息实时推送至公共资源交易平台，避免交易信息发布主体重复录入</w:t>
      </w:r>
      <w:r>
        <w:rPr>
          <w:rFonts w:hint="default" w:ascii="方正仿宋_GBK" w:hAnsi="方正仿宋_GBK" w:eastAsia="方正仿宋_GBK" w:cs="方正仿宋_GBK"/>
          <w:strike w:val="0"/>
          <w:dstrike w:val="0"/>
          <w:sz w:val="32"/>
          <w:szCs w:val="32"/>
          <w:highlight w:val="none"/>
          <w:u w:val="none"/>
          <w:lang w:val="en-US" w:eastAsia="zh-CN"/>
        </w:rPr>
        <w:t>。</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lang w:val="en-US" w:eastAsia="zh-CN"/>
        </w:rPr>
      </w:pPr>
    </w:p>
    <w:p>
      <w:pPr>
        <w:keepNext w:val="0"/>
        <w:keepLines w:val="0"/>
        <w:pageBreakBefore w:val="0"/>
        <w:widowControl w:val="0"/>
        <w:kinsoku/>
        <w:wordWrap/>
        <w:overflowPunct w:val="0"/>
        <w:topLinePunct w:val="0"/>
        <w:autoSpaceDE/>
        <w:autoSpaceDN/>
        <w:bidi w:val="0"/>
        <w:adjustRightInd/>
        <w:snapToGrid/>
        <w:spacing w:line="590" w:lineRule="exact"/>
        <w:jc w:val="center"/>
        <w:textAlignment w:val="auto"/>
        <w:rPr>
          <w:rFonts w:hint="default" w:ascii="方正仿宋_GBK" w:hAnsi="方正仿宋_GBK" w:eastAsia="方正仿宋_GBK" w:cs="方正仿宋_GBK"/>
          <w:sz w:val="32"/>
          <w:szCs w:val="32"/>
          <w:lang w:val="en-US" w:eastAsia="zh-CN"/>
        </w:rPr>
      </w:pPr>
      <w:r>
        <w:rPr>
          <w:rFonts w:hint="eastAsia" w:ascii="方正黑体_GBK" w:hAnsi="方正黑体_GBK" w:eastAsia="方正黑体_GBK" w:cs="方正黑体_GBK"/>
          <w:sz w:val="32"/>
          <w:szCs w:val="32"/>
          <w:lang w:val="en-US" w:eastAsia="zh-CN"/>
        </w:rPr>
        <w:t>第三章  监管信息发布</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highlight w:val="none"/>
          <w:u w:val="none"/>
          <w:lang w:val="en-US" w:eastAsia="zh-CN"/>
        </w:rPr>
      </w:pPr>
      <w:r>
        <w:rPr>
          <w:rFonts w:hint="eastAsia" w:ascii="方正黑体_GBK" w:hAnsi="方正黑体_GBK" w:eastAsia="方正黑体_GBK" w:cs="方正黑体_GBK"/>
          <w:sz w:val="32"/>
          <w:szCs w:val="32"/>
          <w:highlight w:val="none"/>
          <w:lang w:val="en-US" w:eastAsia="zh-CN"/>
        </w:rPr>
        <w:t>第十九条</w:t>
      </w:r>
      <w:r>
        <w:rPr>
          <w:rFonts w:hint="eastAsia" w:ascii="方正仿宋_GBK" w:hAnsi="方正仿宋_GBK" w:eastAsia="方正仿宋_GBK" w:cs="方正仿宋_GBK"/>
          <w:sz w:val="32"/>
          <w:szCs w:val="32"/>
          <w:highlight w:val="none"/>
          <w:lang w:val="en-US" w:eastAsia="zh-CN"/>
        </w:rPr>
        <w:t xml:space="preserve">  </w:t>
      </w:r>
      <w:r>
        <w:rPr>
          <w:rFonts w:hint="eastAsia" w:ascii="方正仿宋_GBK" w:hAnsi="方正仿宋_GBK" w:eastAsia="方正仿宋_GBK" w:cs="方正仿宋_GBK"/>
          <w:sz w:val="32"/>
          <w:szCs w:val="32"/>
          <w:highlight w:val="none"/>
          <w:u w:val="none"/>
          <w:lang w:val="en-US" w:eastAsia="zh-CN"/>
        </w:rPr>
        <w:t>江苏省公共资源交易平台应当依托省公共数据平台，归集行政监督管理部门作出的公共资源交易相关行政处罚、限制参加公共资源交易活动等处罚信息，并提供查询渠道。</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trike/>
          <w:dstrike w:val="0"/>
          <w:sz w:val="32"/>
          <w:szCs w:val="32"/>
          <w:highlight w:val="none"/>
          <w:u w:val="none"/>
          <w:lang w:val="en-US" w:eastAsia="zh-CN"/>
        </w:rPr>
      </w:pPr>
      <w:r>
        <w:rPr>
          <w:rFonts w:hint="eastAsia" w:ascii="方正仿宋_GBK" w:hAnsi="方正仿宋_GBK" w:eastAsia="方正仿宋_GBK" w:cs="方正仿宋_GBK"/>
          <w:sz w:val="32"/>
          <w:szCs w:val="32"/>
          <w:highlight w:val="none"/>
          <w:u w:val="none"/>
          <w:lang w:val="en-US" w:eastAsia="zh-CN"/>
        </w:rPr>
        <w:t>相关主体认为处罚信息登记存在错误的，可以向信息提供单位、江苏省公共资源交易平台提出书面异议申请并说明理由。信息提供单位、江苏省公共资源交易平台应当在规定的时间内核查。确实存在错误的，应当及时予以更正、删除。</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黑体_GBK" w:hAnsi="方正黑体_GBK" w:eastAsia="方正黑体_GBK" w:cs="方正黑体_GBK"/>
          <w:sz w:val="32"/>
          <w:szCs w:val="32"/>
          <w:lang w:val="en-US" w:eastAsia="zh-CN"/>
        </w:rPr>
        <w:t>第二十条</w:t>
      </w:r>
      <w:r>
        <w:rPr>
          <w:rFonts w:hint="eastAsia" w:ascii="方正仿宋_GBK" w:hAnsi="方正仿宋_GBK" w:eastAsia="方正仿宋_GBK" w:cs="方正仿宋_GBK"/>
          <w:sz w:val="32"/>
          <w:szCs w:val="32"/>
          <w:lang w:val="en-US" w:eastAsia="zh-CN"/>
        </w:rPr>
        <w:t xml:space="preserve">  省公共资源交易中心应当根据省综合评标专家库和专家管理相关规定，按季度在江苏省公共资源交易平台发布专家被暂停、中止或取消资格的处理信息</w:t>
      </w:r>
      <w:r>
        <w:rPr>
          <w:rFonts w:hint="eastAsia" w:ascii="方正仿宋_GBK" w:hAnsi="方正仿宋_GBK" w:eastAsia="方正仿宋_GBK" w:cs="方正仿宋_GBK"/>
          <w:sz w:val="32"/>
          <w:szCs w:val="32"/>
          <w:highlight w:val="none"/>
          <w:lang w:val="en-US" w:eastAsia="zh-CN"/>
        </w:rPr>
        <w:t>，</w:t>
      </w:r>
      <w:r>
        <w:rPr>
          <w:rFonts w:hint="eastAsia" w:ascii="方正仿宋_GBK" w:hAnsi="方正仿宋_GBK" w:eastAsia="方正仿宋_GBK" w:cs="方正仿宋_GBK"/>
          <w:sz w:val="32"/>
          <w:szCs w:val="32"/>
          <w:lang w:val="en-US" w:eastAsia="zh-CN"/>
        </w:rPr>
        <w:t>公示期限为</w:t>
      </w:r>
      <w:r>
        <w:rPr>
          <w:rFonts w:hint="eastAsia" w:ascii="Times New Roman" w:hAnsi="Times New Roman" w:eastAsia="方正仿宋_GBK" w:cs="Times New Roman"/>
          <w:sz w:val="32"/>
          <w:szCs w:val="32"/>
          <w:lang w:val="en-US" w:eastAsia="zh-CN"/>
        </w:rPr>
        <w:t>15</w:t>
      </w:r>
      <w:r>
        <w:rPr>
          <w:rFonts w:hint="eastAsia" w:ascii="方正仿宋_GBK" w:hAnsi="方正仿宋_GBK" w:eastAsia="方正仿宋_GBK" w:cs="方正仿宋_GBK"/>
          <w:sz w:val="32"/>
          <w:szCs w:val="32"/>
          <w:lang w:val="en-US" w:eastAsia="zh-CN"/>
        </w:rPr>
        <w:t>天。</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default"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公示的处理信息应当包括专家姓名、考核结果和处理依据。</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default"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评标专家考核结果处于申诉及答复期间的，其处理信息不予公示。</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default" w:ascii="方正仿宋_GBK" w:hAnsi="方正仿宋_GBK" w:eastAsia="方正仿宋_GBK" w:cs="方正仿宋_GBK"/>
          <w:sz w:val="32"/>
          <w:szCs w:val="32"/>
          <w:lang w:val="en-US" w:eastAsia="zh-CN"/>
        </w:rPr>
      </w:pPr>
      <w:r>
        <w:rPr>
          <w:rFonts w:hint="eastAsia" w:ascii="方正黑体_GBK" w:hAnsi="方正黑体_GBK" w:eastAsia="方正黑体_GBK" w:cs="方正黑体_GBK"/>
          <w:sz w:val="32"/>
          <w:szCs w:val="32"/>
          <w:lang w:val="en-US" w:eastAsia="zh-CN"/>
        </w:rPr>
        <w:t xml:space="preserve">第二十一条  </w:t>
      </w:r>
      <w:r>
        <w:rPr>
          <w:rFonts w:hint="eastAsia" w:ascii="方正仿宋_GBK" w:hAnsi="方正仿宋_GBK" w:eastAsia="方正仿宋_GBK" w:cs="方正仿宋_GBK"/>
          <w:sz w:val="32"/>
          <w:szCs w:val="32"/>
          <w:lang w:val="en-US" w:eastAsia="zh-CN"/>
        </w:rPr>
        <w:t>评标专家认为公示的本人处理信息存在错误的，有权向作出处理的部门提出异议，相关部门应当进行核查处置</w:t>
      </w:r>
      <w:r>
        <w:rPr>
          <w:rFonts w:hint="default" w:ascii="方正仿宋_GBK" w:hAnsi="方正仿宋_GBK" w:eastAsia="方正仿宋_GBK" w:cs="方正仿宋_GBK"/>
          <w:sz w:val="32"/>
          <w:szCs w:val="32"/>
          <w:lang w:val="en-US" w:eastAsia="zh-CN"/>
        </w:rPr>
        <w:t>。</w:t>
      </w:r>
    </w:p>
    <w:p>
      <w:pPr>
        <w:keepNext w:val="0"/>
        <w:keepLines w:val="0"/>
        <w:pageBreakBefore w:val="0"/>
        <w:widowControl w:val="0"/>
        <w:kinsoku/>
        <w:wordWrap/>
        <w:overflowPunct w:val="0"/>
        <w:topLinePunct w:val="0"/>
        <w:autoSpaceDE/>
        <w:autoSpaceDN/>
        <w:bidi w:val="0"/>
        <w:adjustRightInd/>
        <w:snapToGrid/>
        <w:spacing w:line="590" w:lineRule="exact"/>
        <w:jc w:val="both"/>
        <w:textAlignment w:val="auto"/>
        <w:rPr>
          <w:rFonts w:hint="default" w:ascii="方正仿宋_GBK" w:hAnsi="方正仿宋_GBK" w:eastAsia="方正仿宋_GBK" w:cs="方正仿宋_GBK"/>
          <w:sz w:val="32"/>
          <w:szCs w:val="32"/>
          <w:lang w:val="en-US" w:eastAsia="zh-CN"/>
        </w:rPr>
      </w:pPr>
    </w:p>
    <w:p>
      <w:pPr>
        <w:keepNext w:val="0"/>
        <w:keepLines w:val="0"/>
        <w:pageBreakBefore w:val="0"/>
        <w:widowControl w:val="0"/>
        <w:kinsoku/>
        <w:wordWrap/>
        <w:overflowPunct w:val="0"/>
        <w:topLinePunct w:val="0"/>
        <w:autoSpaceDE/>
        <w:autoSpaceDN/>
        <w:bidi w:val="0"/>
        <w:adjustRightInd/>
        <w:snapToGrid/>
        <w:spacing w:line="590" w:lineRule="exact"/>
        <w:jc w:val="center"/>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第四章  政策信息和收费公示信息发布</w:t>
      </w:r>
    </w:p>
    <w:p>
      <w:pPr>
        <w:keepNext w:val="0"/>
        <w:keepLines w:val="0"/>
        <w:pageBreakBefore w:val="0"/>
        <w:widowControl w:val="0"/>
        <w:kinsoku/>
        <w:wordWrap/>
        <w:overflowPunct w:val="0"/>
        <w:topLinePunct w:val="0"/>
        <w:autoSpaceDE/>
        <w:autoSpaceDN/>
        <w:bidi w:val="0"/>
        <w:adjustRightInd/>
        <w:snapToGrid/>
        <w:spacing w:line="590" w:lineRule="exact"/>
        <w:ind w:firstLine="640"/>
        <w:jc w:val="both"/>
        <w:textAlignment w:val="auto"/>
        <w:rPr>
          <w:rFonts w:hint="eastAsia" w:ascii="方正仿宋_GBK" w:hAnsi="方正仿宋_GBK" w:eastAsia="方正仿宋_GBK" w:cs="方正仿宋_GBK"/>
          <w:sz w:val="32"/>
          <w:szCs w:val="32"/>
          <w:lang w:val="en-US" w:eastAsia="zh-CN"/>
        </w:rPr>
      </w:pPr>
      <w:r>
        <w:rPr>
          <w:rFonts w:hint="eastAsia" w:ascii="方正黑体_GBK" w:hAnsi="方正黑体_GBK" w:eastAsia="方正黑体_GBK" w:cs="方正黑体_GBK"/>
          <w:sz w:val="32"/>
          <w:szCs w:val="32"/>
          <w:lang w:val="en-US" w:eastAsia="zh-CN"/>
        </w:rPr>
        <w:t xml:space="preserve">第二十二条  </w:t>
      </w:r>
      <w:r>
        <w:rPr>
          <w:rFonts w:hint="eastAsia" w:ascii="方正仿宋_GBK" w:hAnsi="方正仿宋_GBK" w:eastAsia="方正仿宋_GBK" w:cs="方正仿宋_GBK"/>
          <w:sz w:val="32"/>
          <w:szCs w:val="32"/>
          <w:lang w:val="en-US" w:eastAsia="zh-CN"/>
        </w:rPr>
        <w:t>公共资源交易平台应当设立专栏，集中公布公共资源交易相关管理办法、示范文本、交易流程、信用评价标准等法规政策信息。</w:t>
      </w:r>
      <w:bookmarkStart w:id="2" w:name="_GoBack"/>
      <w:bookmarkEnd w:id="2"/>
    </w:p>
    <w:p>
      <w:pPr>
        <w:keepNext w:val="0"/>
        <w:keepLines w:val="0"/>
        <w:pageBreakBefore w:val="0"/>
        <w:widowControl w:val="0"/>
        <w:kinsoku/>
        <w:wordWrap/>
        <w:overflowPunct w:val="0"/>
        <w:topLinePunct w:val="0"/>
        <w:autoSpaceDE/>
        <w:autoSpaceDN/>
        <w:bidi w:val="0"/>
        <w:adjustRightInd/>
        <w:snapToGrid/>
        <w:spacing w:line="590" w:lineRule="exact"/>
        <w:ind w:firstLine="640"/>
        <w:jc w:val="both"/>
        <w:textAlignment w:val="auto"/>
        <w:rPr>
          <w:rFonts w:hint="eastAsia" w:ascii="方正仿宋_GBK" w:hAnsi="方正仿宋_GBK" w:eastAsia="方正仿宋_GBK" w:cs="方正仿宋_GBK"/>
          <w:sz w:val="32"/>
          <w:szCs w:val="32"/>
          <w:highlight w:val="none"/>
          <w:u w:val="none"/>
          <w:lang w:val="en-US" w:eastAsia="zh-CN"/>
        </w:rPr>
      </w:pPr>
      <w:r>
        <w:rPr>
          <w:rFonts w:hint="eastAsia" w:ascii="方正黑体_GBK" w:hAnsi="方正黑体_GBK" w:eastAsia="方正黑体_GBK" w:cs="方正黑体_GBK"/>
          <w:sz w:val="32"/>
          <w:szCs w:val="32"/>
          <w:lang w:val="en-US" w:eastAsia="zh-CN"/>
        </w:rPr>
        <w:t xml:space="preserve">第二十三条 </w:t>
      </w:r>
      <w:r>
        <w:rPr>
          <w:rFonts w:hint="eastAsia" w:ascii="方正仿宋_GBK" w:hAnsi="方正仿宋_GBK" w:eastAsia="方正仿宋_GBK" w:cs="方正仿宋_GBK"/>
          <w:sz w:val="32"/>
          <w:szCs w:val="32"/>
          <w:u w:val="none"/>
          <w:lang w:val="en-US" w:eastAsia="zh-CN"/>
        </w:rPr>
        <w:t xml:space="preserve"> 公共资源交易中心按规定收取相关费用的</w:t>
      </w:r>
      <w:r>
        <w:rPr>
          <w:rFonts w:hint="eastAsia" w:ascii="方正仿宋_GBK" w:hAnsi="方正仿宋_GBK" w:eastAsia="方正仿宋_GBK" w:cs="方正仿宋_GBK"/>
          <w:sz w:val="32"/>
          <w:szCs w:val="32"/>
          <w:highlight w:val="none"/>
          <w:u w:val="none"/>
          <w:lang w:val="en-US" w:eastAsia="zh-CN"/>
        </w:rPr>
        <w:t>，应当在公共资源交易平台、服务收费场所醒目位置公示收费项目、收费对象、收费方式和收费标准，接受有关部门和社会公众监督。</w:t>
      </w:r>
    </w:p>
    <w:p>
      <w:pPr>
        <w:keepNext w:val="0"/>
        <w:keepLines w:val="0"/>
        <w:pageBreakBefore w:val="0"/>
        <w:widowControl w:val="0"/>
        <w:kinsoku/>
        <w:wordWrap/>
        <w:overflowPunct w:val="0"/>
        <w:topLinePunct w:val="0"/>
        <w:autoSpaceDE/>
        <w:autoSpaceDN/>
        <w:bidi w:val="0"/>
        <w:adjustRightInd/>
        <w:snapToGrid/>
        <w:spacing w:line="590" w:lineRule="exact"/>
        <w:jc w:val="both"/>
        <w:textAlignment w:val="auto"/>
        <w:rPr>
          <w:rFonts w:hint="eastAsia" w:ascii="方正黑体_GBK" w:hAnsi="方正黑体_GBK" w:eastAsia="方正黑体_GBK" w:cs="方正黑体_GBK"/>
          <w:sz w:val="32"/>
          <w:szCs w:val="32"/>
          <w:lang w:val="en-US" w:eastAsia="zh-CN"/>
        </w:rPr>
      </w:pPr>
    </w:p>
    <w:p>
      <w:pPr>
        <w:keepNext w:val="0"/>
        <w:keepLines w:val="0"/>
        <w:pageBreakBefore w:val="0"/>
        <w:widowControl w:val="0"/>
        <w:kinsoku/>
        <w:wordWrap/>
        <w:overflowPunct w:val="0"/>
        <w:topLinePunct w:val="0"/>
        <w:autoSpaceDE/>
        <w:autoSpaceDN/>
        <w:bidi w:val="0"/>
        <w:adjustRightInd/>
        <w:snapToGrid/>
        <w:spacing w:line="590" w:lineRule="exact"/>
        <w:jc w:val="center"/>
        <w:textAlignment w:val="auto"/>
        <w:rPr>
          <w:rFonts w:hint="default"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第五章  监督和保障</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黑体_GBK" w:hAnsi="方正黑体_GBK" w:eastAsia="方正黑体_GBK" w:cs="方正黑体_GBK"/>
          <w:sz w:val="32"/>
          <w:szCs w:val="32"/>
          <w:lang w:val="en-US" w:eastAsia="zh-CN"/>
        </w:rPr>
        <w:t>第二十四条</w:t>
      </w:r>
      <w:r>
        <w:rPr>
          <w:rFonts w:hint="eastAsia" w:ascii="方正仿宋_GBK" w:hAnsi="方正仿宋_GBK" w:eastAsia="方正仿宋_GBK" w:cs="方正仿宋_GBK"/>
          <w:sz w:val="32"/>
          <w:szCs w:val="32"/>
          <w:highlight w:val="none"/>
          <w:lang w:val="en-US" w:eastAsia="zh-CN"/>
        </w:rPr>
        <w:t xml:space="preserve">  </w:t>
      </w:r>
      <w:r>
        <w:rPr>
          <w:rFonts w:hint="eastAsia" w:ascii="方正仿宋_GBK" w:hAnsi="方正仿宋_GBK" w:eastAsia="方正仿宋_GBK" w:cs="方正仿宋_GBK"/>
          <w:sz w:val="32"/>
          <w:szCs w:val="32"/>
          <w:lang w:val="en-US" w:eastAsia="zh-CN"/>
        </w:rPr>
        <w:t>公共资源交易平台应当通过主动公开、设置查询页面等方式，向社会公众免费提供依法必须公开的公共资源交易信息。</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黑体_GBK" w:hAnsi="方正黑体_GBK" w:eastAsia="方正黑体_GBK" w:cs="方正黑体_GBK"/>
          <w:sz w:val="32"/>
          <w:szCs w:val="32"/>
          <w:lang w:val="en-US" w:eastAsia="zh-CN"/>
        </w:rPr>
        <w:t>第二十五条</w:t>
      </w:r>
      <w:r>
        <w:rPr>
          <w:rFonts w:hint="eastAsia" w:ascii="方正仿宋_GBK" w:hAnsi="方正仿宋_GBK" w:eastAsia="方正仿宋_GBK" w:cs="方正仿宋_GBK"/>
          <w:sz w:val="32"/>
          <w:szCs w:val="32"/>
          <w:lang w:val="en-US" w:eastAsia="zh-CN"/>
        </w:rPr>
        <w:t xml:space="preserve">  公共资源交易平台要建立健全安全防护体系，在公共资源交易信息发布过程中，加强数据安全管理。</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黑体_GBK" w:hAnsi="方正黑体_GBK" w:eastAsia="方正黑体_GBK" w:cs="方正黑体_GBK"/>
          <w:sz w:val="32"/>
          <w:szCs w:val="32"/>
          <w:lang w:val="en-US" w:eastAsia="zh-CN"/>
        </w:rPr>
        <w:t>第二十六条</w:t>
      </w:r>
      <w:r>
        <w:rPr>
          <w:rFonts w:hint="eastAsia" w:ascii="方正仿宋_GBK" w:hAnsi="方正仿宋_GBK" w:eastAsia="方正仿宋_GBK" w:cs="方正仿宋_GBK"/>
          <w:sz w:val="32"/>
          <w:szCs w:val="32"/>
          <w:lang w:val="en-US" w:eastAsia="zh-CN"/>
        </w:rPr>
        <w:t xml:space="preserve">  交易信息发布主体在发布事项、发布范围、发布内容、发布时限以及发布渠道等方面存在错敏问题或者违法违规行为的，有关行政监督管理部门应当依法依规予以处理。</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黑体_GBK" w:hAnsi="方正黑体_GBK" w:eastAsia="方正黑体_GBK" w:cs="方正黑体_GBK"/>
          <w:sz w:val="32"/>
          <w:szCs w:val="32"/>
          <w:lang w:val="en-US" w:eastAsia="zh-CN"/>
        </w:rPr>
        <w:t>第二十七条</w:t>
      </w:r>
      <w:r>
        <w:rPr>
          <w:rFonts w:hint="eastAsia" w:ascii="方正仿宋_GBK" w:hAnsi="方正仿宋_GBK" w:eastAsia="方正仿宋_GBK" w:cs="方正仿宋_GBK"/>
          <w:sz w:val="32"/>
          <w:szCs w:val="32"/>
          <w:lang w:val="en-US" w:eastAsia="zh-CN"/>
        </w:rPr>
        <w:t xml:space="preserve">  公共资源交易中心在公共资源交易信息发布活动中违规收取费用、无正当理由拒绝发布或者拒不按规定交互信息、无正当理由延误发布时间、导致发布的信息发生遗漏或错误的，由数据主管部门依法依规责令改正。</w:t>
      </w:r>
    </w:p>
    <w:p>
      <w:pPr>
        <w:keepNext w:val="0"/>
        <w:keepLines w:val="0"/>
        <w:pageBreakBefore w:val="0"/>
        <w:widowControl w:val="0"/>
        <w:kinsoku/>
        <w:wordWrap/>
        <w:overflowPunct w:val="0"/>
        <w:topLinePunct w:val="0"/>
        <w:autoSpaceDE/>
        <w:autoSpaceDN/>
        <w:bidi w:val="0"/>
        <w:adjustRightInd/>
        <w:snapToGrid/>
        <w:spacing w:line="590" w:lineRule="exact"/>
        <w:jc w:val="both"/>
        <w:textAlignment w:val="auto"/>
        <w:rPr>
          <w:rFonts w:hint="eastAsia" w:ascii="方正仿宋_GBK" w:hAnsi="方正仿宋_GBK" w:eastAsia="方正仿宋_GBK" w:cs="方正仿宋_GBK"/>
          <w:sz w:val="32"/>
          <w:szCs w:val="32"/>
          <w:lang w:val="en-US" w:eastAsia="zh-CN"/>
        </w:rPr>
      </w:pPr>
    </w:p>
    <w:p>
      <w:pPr>
        <w:keepNext w:val="0"/>
        <w:keepLines w:val="0"/>
        <w:pageBreakBefore w:val="0"/>
        <w:widowControl w:val="0"/>
        <w:kinsoku/>
        <w:wordWrap/>
        <w:overflowPunct w:val="0"/>
        <w:topLinePunct w:val="0"/>
        <w:autoSpaceDE/>
        <w:autoSpaceDN/>
        <w:bidi w:val="0"/>
        <w:adjustRightInd/>
        <w:snapToGrid/>
        <w:spacing w:line="590" w:lineRule="exact"/>
        <w:jc w:val="center"/>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第六章  附则</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黑体_GBK" w:hAnsi="方正黑体_GBK" w:eastAsia="方正黑体_GBK" w:cs="方正黑体_GBK"/>
          <w:sz w:val="32"/>
          <w:szCs w:val="32"/>
          <w:lang w:val="en-US" w:eastAsia="zh-CN"/>
        </w:rPr>
        <w:t>第二十八条</w:t>
      </w:r>
      <w:r>
        <w:rPr>
          <w:rFonts w:hint="eastAsia" w:ascii="方正仿宋_GBK" w:hAnsi="方正仿宋_GBK" w:eastAsia="方正仿宋_GBK" w:cs="方正仿宋_GBK"/>
          <w:sz w:val="32"/>
          <w:szCs w:val="32"/>
          <w:lang w:val="en-US" w:eastAsia="zh-CN"/>
        </w:rPr>
        <w:t xml:space="preserve">  本规定由江苏省数据局会同省有关行政监督管理部门负责解释。</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jc w:val="both"/>
        <w:textAlignment w:val="auto"/>
        <w:rPr>
          <w:rFonts w:hint="default" w:ascii="方正仿宋_GBK" w:hAnsi="方正仿宋_GBK" w:eastAsia="方正仿宋_GBK" w:cs="方正仿宋_GBK"/>
          <w:sz w:val="32"/>
          <w:szCs w:val="32"/>
          <w:lang w:val="en-US" w:eastAsia="zh-CN"/>
        </w:rPr>
      </w:pPr>
      <w:r>
        <w:rPr>
          <w:rFonts w:hint="eastAsia" w:ascii="方正黑体_GBK" w:hAnsi="方正黑体_GBK" w:eastAsia="方正黑体_GBK" w:cs="方正黑体_GBK"/>
          <w:sz w:val="32"/>
          <w:szCs w:val="32"/>
          <w:lang w:val="en-US" w:eastAsia="zh-CN"/>
        </w:rPr>
        <w:t>第二十九条</w:t>
      </w:r>
      <w:r>
        <w:rPr>
          <w:rFonts w:hint="eastAsia" w:ascii="方正仿宋_GBK" w:hAnsi="方正仿宋_GBK" w:eastAsia="方正仿宋_GBK" w:cs="方正仿宋_GBK"/>
          <w:sz w:val="32"/>
          <w:szCs w:val="32"/>
          <w:lang w:val="en-US" w:eastAsia="zh-CN"/>
        </w:rPr>
        <w:t xml:space="preserve">  本规定</w:t>
      </w:r>
      <w:r>
        <w:rPr>
          <w:rFonts w:hint="default" w:ascii="Times New Roman" w:hAnsi="Times New Roman" w:eastAsia="方正仿宋_GBK" w:cs="Times New Roman"/>
          <w:sz w:val="32"/>
          <w:szCs w:val="32"/>
          <w:lang w:val="en-US" w:eastAsia="zh-CN"/>
        </w:rPr>
        <w:t>自</w:t>
      </w:r>
      <w:r>
        <w:rPr>
          <w:rFonts w:hint="default" w:ascii="Times New Roman" w:hAnsi="Times New Roman" w:eastAsia="宋体" w:cs="Times New Roman"/>
          <w:color w:val="000000"/>
          <w:kern w:val="0"/>
          <w:sz w:val="32"/>
          <w:szCs w:val="32"/>
          <w:lang w:val="en-US" w:eastAsia="zh-CN" w:bidi="ar"/>
        </w:rPr>
        <w:t>2025</w:t>
      </w:r>
      <w:r>
        <w:rPr>
          <w:rFonts w:hint="default" w:ascii="Times New Roman" w:hAnsi="Times New Roman" w:eastAsia="方正仿宋_GBK" w:cs="Times New Roman"/>
          <w:sz w:val="32"/>
          <w:szCs w:val="32"/>
          <w:lang w:val="en-US" w:eastAsia="zh-CN"/>
        </w:rPr>
        <w:t>年 月 日起施行，有效期至20</w:t>
      </w:r>
      <w:r>
        <w:rPr>
          <w:rFonts w:hint="eastAsia" w:ascii="Times New Roman" w:hAnsi="Times New Roman" w:eastAsia="方正仿宋_GBK" w:cs="Times New Roman"/>
          <w:sz w:val="32"/>
          <w:szCs w:val="32"/>
          <w:lang w:val="en-US" w:eastAsia="zh-CN"/>
        </w:rPr>
        <w:t>30</w:t>
      </w:r>
      <w:r>
        <w:rPr>
          <w:rFonts w:hint="default" w:ascii="Times New Roman" w:hAnsi="Times New Roman" w:eastAsia="方正仿宋_GBK" w:cs="Times New Roman"/>
          <w:sz w:val="32"/>
          <w:szCs w:val="32"/>
          <w:lang w:val="en-US" w:eastAsia="zh-CN"/>
        </w:rPr>
        <w:t>年</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lang w:val="en-US" w:eastAsia="zh-CN"/>
        </w:rPr>
        <w:t>月</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lang w:val="en-US" w:eastAsia="zh-CN"/>
        </w:rPr>
        <w:t>日。</w:t>
      </w:r>
    </w:p>
    <w:sectPr>
      <w:footerReference r:id="rId3" w:type="default"/>
      <w:pgSz w:w="11906" w:h="16838"/>
      <w:pgMar w:top="1814"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default" w:ascii="Times New Roman" w:hAnsi="Times New Roman" w:cs="Times New Roman" w:eastAsiaTheme="minorEastAsia"/>
                              <w:sz w:val="28"/>
                              <w:szCs w:val="28"/>
                              <w:lang w:val="en-US" w:eastAsia="zh-CN"/>
                            </w:rPr>
                          </w:pPr>
                          <w:r>
                            <w:rPr>
                              <w:rFonts w:hint="default" w:ascii="Times New Roman" w:hAnsi="Times New Roman" w:cs="Times New Roman"/>
                              <w:sz w:val="28"/>
                              <w:szCs w:val="28"/>
                              <w:lang w:eastAsia="zh-CN"/>
                            </w:rPr>
                            <w: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&#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WAAAAZHJzL1BLAQIUABQAAAAIAIdO4kCzSVju0AAAAAUBAAAPAAAAAAAAAAEAIAAAADgAAABk&#10;cnMvZG93bnJldi54bWxQSwECFAAUAAAACACHTuJAa4X5+zECAABhBAAADgAAAAAAAAABACAAAAA1&#10;AQAAZHJzL2Uyb0RvYy54bWxQSwUGAAAAAAYABgBZAQAA2AUAAAAA&#10;">
              <v:fill on="f" focussize="0,0"/>
              <v:stroke on="f" weight="0.5pt"/>
              <v:imagedata o:title=""/>
              <o:lock v:ext="edit" aspectratio="f"/>
              <v:textbox inset="0mm,0mm,0mm,0mm" style="mso-fit-shape-to-text:t;">
                <w:txbxContent>
                  <w:p>
                    <w:pPr>
                      <w:pStyle w:val="3"/>
                      <w:rPr>
                        <w:rFonts w:hint="default" w:ascii="Times New Roman" w:hAnsi="Times New Roman" w:cs="Times New Roman" w:eastAsiaTheme="minorEastAsia"/>
                        <w:sz w:val="28"/>
                        <w:szCs w:val="28"/>
                        <w:lang w:val="en-US" w:eastAsia="zh-CN"/>
                      </w:rPr>
                    </w:pPr>
                    <w:r>
                      <w:rPr>
                        <w:rFonts w:hint="default" w:ascii="Times New Roman" w:hAnsi="Times New Roman" w:cs="Times New Roman"/>
                        <w:sz w:val="28"/>
                        <w:szCs w:val="28"/>
                        <w:lang w:eastAsia="zh-CN"/>
                      </w:rPr>
                      <w: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lang w:val="en-US"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RhM2Y0ZjliYzY4ZTE5MmQ3MTY1NzZjNTk1MjA4MzkifQ=="/>
  </w:docVars>
  <w:rsids>
    <w:rsidRoot w:val="00000000"/>
    <w:rsid w:val="014310EE"/>
    <w:rsid w:val="01E404B6"/>
    <w:rsid w:val="02BE5F18"/>
    <w:rsid w:val="0343095A"/>
    <w:rsid w:val="050812F9"/>
    <w:rsid w:val="0548762F"/>
    <w:rsid w:val="055744BB"/>
    <w:rsid w:val="091927F9"/>
    <w:rsid w:val="09C30A93"/>
    <w:rsid w:val="0A981046"/>
    <w:rsid w:val="0ADE52FB"/>
    <w:rsid w:val="0B1950F9"/>
    <w:rsid w:val="0D7B533D"/>
    <w:rsid w:val="0FA04CB1"/>
    <w:rsid w:val="0FBF5685"/>
    <w:rsid w:val="0FF03D55"/>
    <w:rsid w:val="11883732"/>
    <w:rsid w:val="11DB03FA"/>
    <w:rsid w:val="11F23FD3"/>
    <w:rsid w:val="1283026C"/>
    <w:rsid w:val="134E53C5"/>
    <w:rsid w:val="177D270E"/>
    <w:rsid w:val="17B7B4A4"/>
    <w:rsid w:val="17D6734C"/>
    <w:rsid w:val="18BF72DB"/>
    <w:rsid w:val="1AB82D14"/>
    <w:rsid w:val="1B841B34"/>
    <w:rsid w:val="1BED353A"/>
    <w:rsid w:val="1CD407F7"/>
    <w:rsid w:val="1DE5E765"/>
    <w:rsid w:val="1F040613"/>
    <w:rsid w:val="1FFD631C"/>
    <w:rsid w:val="207717FF"/>
    <w:rsid w:val="20AC4ABE"/>
    <w:rsid w:val="20DE1F83"/>
    <w:rsid w:val="217A4BBD"/>
    <w:rsid w:val="21AC0A50"/>
    <w:rsid w:val="22D123D2"/>
    <w:rsid w:val="22FDFE82"/>
    <w:rsid w:val="230C7341"/>
    <w:rsid w:val="24E14A0E"/>
    <w:rsid w:val="258C4EBE"/>
    <w:rsid w:val="25FF4DA1"/>
    <w:rsid w:val="27346032"/>
    <w:rsid w:val="27761E75"/>
    <w:rsid w:val="278D63D8"/>
    <w:rsid w:val="297C21D2"/>
    <w:rsid w:val="29C8521C"/>
    <w:rsid w:val="2A6969B7"/>
    <w:rsid w:val="2B7E35E9"/>
    <w:rsid w:val="2CDF6A6E"/>
    <w:rsid w:val="2D582605"/>
    <w:rsid w:val="2D779837"/>
    <w:rsid w:val="2DA603E9"/>
    <w:rsid w:val="2DEFC15F"/>
    <w:rsid w:val="32CB0068"/>
    <w:rsid w:val="336D2211"/>
    <w:rsid w:val="33BF30B3"/>
    <w:rsid w:val="33DFDD6A"/>
    <w:rsid w:val="35DD08A4"/>
    <w:rsid w:val="36847C9D"/>
    <w:rsid w:val="36F6663C"/>
    <w:rsid w:val="37014501"/>
    <w:rsid w:val="37979162"/>
    <w:rsid w:val="37DFC677"/>
    <w:rsid w:val="38B62526"/>
    <w:rsid w:val="38F13A35"/>
    <w:rsid w:val="3B4E1BDD"/>
    <w:rsid w:val="3B5D312E"/>
    <w:rsid w:val="3BDA51B7"/>
    <w:rsid w:val="3BE70227"/>
    <w:rsid w:val="3BF5B685"/>
    <w:rsid w:val="3CAE4864"/>
    <w:rsid w:val="3E6D18D9"/>
    <w:rsid w:val="3EE07D28"/>
    <w:rsid w:val="3EFFE453"/>
    <w:rsid w:val="3F77A3AE"/>
    <w:rsid w:val="3F973C28"/>
    <w:rsid w:val="3FDBCA64"/>
    <w:rsid w:val="3FFD6DDA"/>
    <w:rsid w:val="3FFDFB91"/>
    <w:rsid w:val="40FA67D8"/>
    <w:rsid w:val="427C17FC"/>
    <w:rsid w:val="45EA1A61"/>
    <w:rsid w:val="462E7BA0"/>
    <w:rsid w:val="46D851CA"/>
    <w:rsid w:val="478BD034"/>
    <w:rsid w:val="482F55D2"/>
    <w:rsid w:val="498F70ED"/>
    <w:rsid w:val="4C073535"/>
    <w:rsid w:val="4EAC47E4"/>
    <w:rsid w:val="4ED908C5"/>
    <w:rsid w:val="4F155DA1"/>
    <w:rsid w:val="4F575D10"/>
    <w:rsid w:val="4F71507A"/>
    <w:rsid w:val="4F8B7D15"/>
    <w:rsid w:val="4FCF9A08"/>
    <w:rsid w:val="515E0E0C"/>
    <w:rsid w:val="51FF332B"/>
    <w:rsid w:val="52AF89EC"/>
    <w:rsid w:val="52EB1AFC"/>
    <w:rsid w:val="54F55170"/>
    <w:rsid w:val="553F5D44"/>
    <w:rsid w:val="5622481F"/>
    <w:rsid w:val="567F042E"/>
    <w:rsid w:val="56992EA0"/>
    <w:rsid w:val="571A49DE"/>
    <w:rsid w:val="579D6E6E"/>
    <w:rsid w:val="57B71341"/>
    <w:rsid w:val="57B723A3"/>
    <w:rsid w:val="59FA2DCC"/>
    <w:rsid w:val="5B6862CD"/>
    <w:rsid w:val="5B935185"/>
    <w:rsid w:val="5BDD593D"/>
    <w:rsid w:val="5BDF8851"/>
    <w:rsid w:val="5BEEA329"/>
    <w:rsid w:val="5DD98F8A"/>
    <w:rsid w:val="5E53182A"/>
    <w:rsid w:val="5EFF8892"/>
    <w:rsid w:val="5F3DBE7B"/>
    <w:rsid w:val="5F7754D9"/>
    <w:rsid w:val="5F7E71F9"/>
    <w:rsid w:val="5F9B3D06"/>
    <w:rsid w:val="5F9B8704"/>
    <w:rsid w:val="5FA00281"/>
    <w:rsid w:val="5FBD1D03"/>
    <w:rsid w:val="5FC943B4"/>
    <w:rsid w:val="5FDB3C01"/>
    <w:rsid w:val="5FE4915C"/>
    <w:rsid w:val="60FA4CBA"/>
    <w:rsid w:val="63BD361A"/>
    <w:rsid w:val="63E80218"/>
    <w:rsid w:val="64C34A21"/>
    <w:rsid w:val="657B4C32"/>
    <w:rsid w:val="65FB82B1"/>
    <w:rsid w:val="66F7A8EB"/>
    <w:rsid w:val="67FFC6E1"/>
    <w:rsid w:val="67FFCABC"/>
    <w:rsid w:val="680D0E77"/>
    <w:rsid w:val="68F986AD"/>
    <w:rsid w:val="694E6C91"/>
    <w:rsid w:val="695423D4"/>
    <w:rsid w:val="69E5721D"/>
    <w:rsid w:val="69E75BB1"/>
    <w:rsid w:val="6A1A0E21"/>
    <w:rsid w:val="6ABE50E7"/>
    <w:rsid w:val="6BFEE771"/>
    <w:rsid w:val="6D2068AC"/>
    <w:rsid w:val="6F4E5EEE"/>
    <w:rsid w:val="6F7B705D"/>
    <w:rsid w:val="6F7F363D"/>
    <w:rsid w:val="6FA666F1"/>
    <w:rsid w:val="6FBE11C4"/>
    <w:rsid w:val="6FBF3260"/>
    <w:rsid w:val="6FEF5E36"/>
    <w:rsid w:val="6FEF7163"/>
    <w:rsid w:val="6FF77E75"/>
    <w:rsid w:val="70367576"/>
    <w:rsid w:val="703716AB"/>
    <w:rsid w:val="71FB79CE"/>
    <w:rsid w:val="72C10338"/>
    <w:rsid w:val="73AB1BCC"/>
    <w:rsid w:val="752E674E"/>
    <w:rsid w:val="75D501C9"/>
    <w:rsid w:val="75FF0F31"/>
    <w:rsid w:val="76606C42"/>
    <w:rsid w:val="76BF3A79"/>
    <w:rsid w:val="76DAF7E6"/>
    <w:rsid w:val="76DDDED1"/>
    <w:rsid w:val="76F7FA1A"/>
    <w:rsid w:val="76FB7217"/>
    <w:rsid w:val="776B8EAF"/>
    <w:rsid w:val="77CC6625"/>
    <w:rsid w:val="77EF80EC"/>
    <w:rsid w:val="77FE835E"/>
    <w:rsid w:val="78730C2B"/>
    <w:rsid w:val="78D2252C"/>
    <w:rsid w:val="78F35938"/>
    <w:rsid w:val="78F877E1"/>
    <w:rsid w:val="7A6D14C4"/>
    <w:rsid w:val="7A73BBC4"/>
    <w:rsid w:val="7B560542"/>
    <w:rsid w:val="7BB77EB1"/>
    <w:rsid w:val="7BFD6142"/>
    <w:rsid w:val="7BFD9FE7"/>
    <w:rsid w:val="7BFE8DE1"/>
    <w:rsid w:val="7BFF2CB4"/>
    <w:rsid w:val="7CF3273B"/>
    <w:rsid w:val="7CF73913"/>
    <w:rsid w:val="7CFA2509"/>
    <w:rsid w:val="7CFD384D"/>
    <w:rsid w:val="7CFF0E17"/>
    <w:rsid w:val="7D5B76CA"/>
    <w:rsid w:val="7D6E4856"/>
    <w:rsid w:val="7D774161"/>
    <w:rsid w:val="7D9A9F0B"/>
    <w:rsid w:val="7DC7DB19"/>
    <w:rsid w:val="7DFB32DA"/>
    <w:rsid w:val="7E1626EC"/>
    <w:rsid w:val="7E75E810"/>
    <w:rsid w:val="7E7E7117"/>
    <w:rsid w:val="7EDDB51A"/>
    <w:rsid w:val="7EDDD632"/>
    <w:rsid w:val="7F3FC9F8"/>
    <w:rsid w:val="7F570EEB"/>
    <w:rsid w:val="7F5E3652"/>
    <w:rsid w:val="7F7FBF96"/>
    <w:rsid w:val="7FB21577"/>
    <w:rsid w:val="7FBD44A2"/>
    <w:rsid w:val="7FCE704E"/>
    <w:rsid w:val="7FDF8D67"/>
    <w:rsid w:val="7FDFE46A"/>
    <w:rsid w:val="7FE5AB61"/>
    <w:rsid w:val="7FEDCD4F"/>
    <w:rsid w:val="7FEFD567"/>
    <w:rsid w:val="7FF321DC"/>
    <w:rsid w:val="7FF522C0"/>
    <w:rsid w:val="7FF7460A"/>
    <w:rsid w:val="7FF75DBE"/>
    <w:rsid w:val="7FF76C34"/>
    <w:rsid w:val="7FF7C550"/>
    <w:rsid w:val="7FFB5EF0"/>
    <w:rsid w:val="7FFBC331"/>
    <w:rsid w:val="7FFEAB05"/>
    <w:rsid w:val="7FFEBB00"/>
    <w:rsid w:val="7FFEE4B3"/>
    <w:rsid w:val="7FFF6CF1"/>
    <w:rsid w:val="7FFFD4FD"/>
    <w:rsid w:val="8F9F9FC8"/>
    <w:rsid w:val="8FF5AE99"/>
    <w:rsid w:val="93F31267"/>
    <w:rsid w:val="9777725E"/>
    <w:rsid w:val="9CFCDE56"/>
    <w:rsid w:val="9E7BCE08"/>
    <w:rsid w:val="9F7FF690"/>
    <w:rsid w:val="9FDE7FA2"/>
    <w:rsid w:val="9FEFC9E7"/>
    <w:rsid w:val="9FFE570B"/>
    <w:rsid w:val="ACA7EBC7"/>
    <w:rsid w:val="ADF62D03"/>
    <w:rsid w:val="AFAB5487"/>
    <w:rsid w:val="B1CB80EC"/>
    <w:rsid w:val="B771EAE6"/>
    <w:rsid w:val="B7F3868C"/>
    <w:rsid w:val="BA9F83F0"/>
    <w:rsid w:val="BBEFCD3C"/>
    <w:rsid w:val="BD4D8FCC"/>
    <w:rsid w:val="BDFF1AAF"/>
    <w:rsid w:val="BEBB46A7"/>
    <w:rsid w:val="BF772162"/>
    <w:rsid w:val="BFDF52D3"/>
    <w:rsid w:val="BFF56B6D"/>
    <w:rsid w:val="BFFF413A"/>
    <w:rsid w:val="BFFF6CBE"/>
    <w:rsid w:val="C7CD453A"/>
    <w:rsid w:val="CE467D83"/>
    <w:rsid w:val="CF9B3440"/>
    <w:rsid w:val="D3F1D3F1"/>
    <w:rsid w:val="D6D3D64B"/>
    <w:rsid w:val="D7FFBD3F"/>
    <w:rsid w:val="DD7730CC"/>
    <w:rsid w:val="DDFF409D"/>
    <w:rsid w:val="DF7BF1B5"/>
    <w:rsid w:val="DFEC91E0"/>
    <w:rsid w:val="DFFB9F51"/>
    <w:rsid w:val="DFFFF86C"/>
    <w:rsid w:val="E2DE368F"/>
    <w:rsid w:val="E2F3E9F4"/>
    <w:rsid w:val="EB7F5CC8"/>
    <w:rsid w:val="EBDD0C31"/>
    <w:rsid w:val="EBF9C0A7"/>
    <w:rsid w:val="EDDB133A"/>
    <w:rsid w:val="EE5668CE"/>
    <w:rsid w:val="EF7752F2"/>
    <w:rsid w:val="EFF38FE2"/>
    <w:rsid w:val="F47F6104"/>
    <w:rsid w:val="F67F6096"/>
    <w:rsid w:val="F6ED5A89"/>
    <w:rsid w:val="F6FDA5A8"/>
    <w:rsid w:val="F6FF05A3"/>
    <w:rsid w:val="F75AE2C6"/>
    <w:rsid w:val="F77CE23C"/>
    <w:rsid w:val="F7ED6B1E"/>
    <w:rsid w:val="F7FCA0F4"/>
    <w:rsid w:val="F9F7324D"/>
    <w:rsid w:val="FA6B3AA1"/>
    <w:rsid w:val="FA7F0F00"/>
    <w:rsid w:val="FAAF7C38"/>
    <w:rsid w:val="FAF01666"/>
    <w:rsid w:val="FB273DE2"/>
    <w:rsid w:val="FB274F73"/>
    <w:rsid w:val="FB9FCB40"/>
    <w:rsid w:val="FBAFB00A"/>
    <w:rsid w:val="FBEE7B40"/>
    <w:rsid w:val="FBF3274D"/>
    <w:rsid w:val="FDE7BF9C"/>
    <w:rsid w:val="FDEB5889"/>
    <w:rsid w:val="FDF58574"/>
    <w:rsid w:val="FDFF628E"/>
    <w:rsid w:val="FECFEEF6"/>
    <w:rsid w:val="FF0CEB64"/>
    <w:rsid w:val="FF3D4E7B"/>
    <w:rsid w:val="FF5E4B56"/>
    <w:rsid w:val="FFAA5E44"/>
    <w:rsid w:val="FFB71359"/>
    <w:rsid w:val="FFBDF35D"/>
    <w:rsid w:val="FFBFDBD8"/>
    <w:rsid w:val="FFCEFCB1"/>
    <w:rsid w:val="FFDBCF16"/>
    <w:rsid w:val="FFE10C36"/>
    <w:rsid w:val="FFEEBA0F"/>
    <w:rsid w:val="FFFDC4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annotation text"/>
    <w:basedOn w:val="1"/>
    <w:link w:val="8"/>
    <w:qFormat/>
    <w:uiPriority w:val="0"/>
    <w:pPr>
      <w:jc w:val="left"/>
    </w:pPr>
    <w:rPr>
      <w:rFonts w:ascii="Times New Roman" w:hAnsi="Times New Roman" w:eastAsia="方正仿宋_GBK"/>
      <w:sz w:val="72"/>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8">
    <w:name w:val="批注文字 Char"/>
    <w:link w:val="2"/>
    <w:qFormat/>
    <w:uiPriority w:val="0"/>
    <w:rPr>
      <w:rFonts w:ascii="Times New Roman" w:hAnsi="Times New Roman" w:eastAsia="方正仿宋_GBK"/>
      <w:sz w:val="7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2738</Words>
  <Characters>2780</Characters>
  <Lines>0</Lines>
  <Paragraphs>0</Paragraphs>
  <TotalTime>2</TotalTime>
  <ScaleCrop>false</ScaleCrop>
  <LinksUpToDate>false</LinksUpToDate>
  <CharactersWithSpaces>2848</CharactersWithSpaces>
  <Application>WPS Office_12.8.2.15290_F1E327BC-269C-435d-A152-05C5408002CA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2022-07-23T12:45:00Z</dcterms:created>
  <dc:creator>YY</dc:creator>
  <cp:lastModifiedBy>hw</cp:lastModifiedBy>
  <dcterms:modified xsi:type="dcterms:W3CDTF">2025-06-27T10:40:33Z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2052-12.8.2.15290</vt:lpwstr>
  </property>
  <property fmtid="{D5CDD505-2E9C-101B-9397-08002B2CF9AE}" pid="3" name="ICV">
    <vt:lpwstr>C09B68BDAD4048A0B2B8BCEAEAE0F4BD</vt:lpwstr>
  </property>
  <property fmtid="{D5CDD505-2E9C-101B-9397-08002B2CF9AE}" pid="4" name="KSOTemplateDocerSaveRecord">
    <vt:lpwstr>eyJoZGlkIjoiMGRhM2Y0ZjliYzY4ZTE5MmQ3MTY1NzZjNTk1MjA4MzkiLCJ1c2VySWQiOiIzMDAwODg0MTIifQ==</vt:lpwstr>
  </property>
</Properties>
</file>