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hint="eastAsia" w:eastAsia="方正小标宋_GBK"/>
          <w:snapToGrid w:val="0"/>
          <w:kern w:val="0"/>
          <w:sz w:val="44"/>
          <w:szCs w:val="44"/>
        </w:rPr>
      </w:pPr>
      <w:bookmarkStart w:id="1" w:name="_GoBack"/>
      <w:bookmarkEnd w:id="1"/>
      <w:bookmarkStart w:id="0" w:name="OLE_LINK2"/>
    </w:p>
    <w:p>
      <w:pPr>
        <w:ind w:firstLine="0" w:firstLineChars="0"/>
        <w:jc w:val="center"/>
        <w:rPr>
          <w:rFonts w:hint="eastAsia" w:ascii="方正小标宋_GBK" w:hAnsi="方正黑体_GBK" w:eastAsia="方正小标宋_GBK" w:cs="方正黑体_GBK"/>
          <w:sz w:val="44"/>
          <w:szCs w:val="44"/>
          <w:lang w:eastAsia="zh-CN"/>
        </w:rPr>
      </w:pPr>
      <w:r>
        <w:rPr>
          <w:rFonts w:hint="eastAsia" w:eastAsia="方正小标宋_GBK"/>
          <w:snapToGrid w:val="0"/>
          <w:kern w:val="0"/>
          <w:sz w:val="44"/>
          <w:szCs w:val="44"/>
        </w:rPr>
        <w:t>《江苏省城市更新条例》</w:t>
      </w:r>
      <w:bookmarkEnd w:id="0"/>
      <w:r>
        <w:rPr>
          <w:rFonts w:hint="eastAsia" w:ascii="方正小标宋_GBK" w:hAnsi="方正黑体_GBK" w:eastAsia="方正小标宋_GBK" w:cs="方正黑体_GBK"/>
          <w:sz w:val="44"/>
          <w:szCs w:val="44"/>
          <w:lang w:eastAsia="zh-CN"/>
        </w:rPr>
        <w:t>起草说明</w:t>
      </w:r>
    </w:p>
    <w:p>
      <w:pPr>
        <w:ind w:firstLine="640"/>
        <w:jc w:val="center"/>
        <w:rPr>
          <w:rFonts w:hint="eastAsia" w:ascii="方正小标宋_GBK" w:hAnsi="方正黑体_GBK" w:eastAsia="方正小标宋_GBK" w:cs="方正黑体_GBK"/>
          <w:sz w:val="44"/>
          <w:szCs w:val="44"/>
          <w:lang w:eastAsia="zh-CN"/>
        </w:rPr>
      </w:pPr>
    </w:p>
    <w:p>
      <w:pPr>
        <w:ind w:firstLine="640"/>
        <w:rPr>
          <w:rFonts w:ascii="Times New Roman" w:hAnsi="Times New Roman" w:cs="Times New Roman"/>
          <w:snapToGrid w:val="0"/>
          <w:kern w:val="0"/>
          <w:szCs w:val="20"/>
        </w:rPr>
      </w:pPr>
      <w:r>
        <w:rPr>
          <w:rFonts w:ascii="Times New Roman" w:hAnsi="Times New Roman" w:cs="Times New Roman"/>
          <w:snapToGrid w:val="0"/>
          <w:kern w:val="0"/>
          <w:szCs w:val="20"/>
        </w:rPr>
        <w:t>根据省人大常委会的立法工作安排，由我厅牵头起草的《江苏省城市更新条例》（以下简称《条例》）被列为2026年正式立法项目。目前，我厅已组织相关处室开展《条例》立法工作，现将有关情况汇报如下：</w:t>
      </w:r>
    </w:p>
    <w:p>
      <w:pPr>
        <w:pStyle w:val="4"/>
        <w:ind w:firstLine="640"/>
        <w:rPr>
          <w:rFonts w:ascii="Times New Roman" w:hAnsi="Times New Roman" w:cs="Times New Roman"/>
        </w:rPr>
      </w:pPr>
      <w:r>
        <w:rPr>
          <w:rFonts w:ascii="Times New Roman" w:hAnsi="Times New Roman" w:cs="Times New Roman"/>
        </w:rPr>
        <w:t>一、立法目的</w:t>
      </w:r>
    </w:p>
    <w:p>
      <w:pPr>
        <w:ind w:firstLine="640"/>
        <w:rPr>
          <w:rFonts w:ascii="Times New Roman" w:hAnsi="Times New Roman" w:eastAsia="方正楷体_GBK" w:cs="Times New Roman"/>
        </w:rPr>
      </w:pPr>
      <w:r>
        <w:rPr>
          <w:rFonts w:ascii="Times New Roman" w:hAnsi="Times New Roman" w:eastAsia="方正楷体_GBK" w:cs="Times New Roman"/>
        </w:rPr>
        <w:t>（一）落实国家和省决策部署要求</w:t>
      </w:r>
    </w:p>
    <w:p>
      <w:pPr>
        <w:ind w:firstLine="640"/>
        <w:rPr>
          <w:rFonts w:ascii="Times New Roman" w:hAnsi="Times New Roman" w:cs="Times New Roman"/>
        </w:rPr>
      </w:pPr>
      <w:r>
        <w:rPr>
          <w:rFonts w:ascii="Times New Roman" w:hAnsi="Times New Roman" w:cs="Times New Roman"/>
        </w:rPr>
        <w:t>实施城市更新行动，对提升城市品质、满足人民群众美好生活需要、推动城市高质量发展具有重要意义。党的二十大明确提出实施城市更新行动。党的二十届三中全会提出建立可持续的城市更新模式和政策法规。2025年5月，中办国办印发《关于持续推进城市更新行动的意见》；7月，中央城市工作会议召开，强调以推进城市更新为重要抓手，建设创新、宜居、美丽、韧性、文明、智慧的现代化人民城市。省委省政府也高度重视城市更新工作，2022年出台了全国首个省级《关于实施城市更新行动的指导意见》，2024年出台全国首个省级《关于支持城市更新行动的若干政策措施》。2025年11月召开的省委城市工作会议对全省城市更新工作提出了更高要求。当前</w:t>
      </w:r>
      <w:r>
        <w:rPr>
          <w:rFonts w:hint="eastAsia" w:ascii="Times New Roman" w:hAnsi="Times New Roman" w:cs="Times New Roman"/>
        </w:rPr>
        <w:t>我厅</w:t>
      </w:r>
      <w:r>
        <w:rPr>
          <w:rFonts w:ascii="Times New Roman" w:hAnsi="Times New Roman" w:cs="Times New Roman"/>
        </w:rPr>
        <w:t>正在</w:t>
      </w:r>
      <w:r>
        <w:rPr>
          <w:rFonts w:hint="eastAsia" w:ascii="Times New Roman" w:hAnsi="Times New Roman" w:cs="Times New Roman"/>
        </w:rPr>
        <w:t>提请省政府</w:t>
      </w:r>
      <w:r>
        <w:rPr>
          <w:rFonts w:ascii="Times New Roman" w:hAnsi="Times New Roman" w:cs="Times New Roman"/>
        </w:rPr>
        <w:t>出台进一步支持城市更新</w:t>
      </w:r>
      <w:r>
        <w:rPr>
          <w:rFonts w:hint="eastAsia" w:ascii="Times New Roman" w:hAnsi="Times New Roman" w:cs="Times New Roman"/>
          <w:lang w:eastAsia="zh-CN"/>
        </w:rPr>
        <w:t>发</w:t>
      </w:r>
      <w:r>
        <w:rPr>
          <w:rFonts w:ascii="Times New Roman" w:hAnsi="Times New Roman" w:cs="Times New Roman"/>
        </w:rPr>
        <w:t>展的改革创新政策措施</w:t>
      </w:r>
      <w:r>
        <w:rPr>
          <w:rFonts w:hint="eastAsia" w:ascii="Times New Roman" w:hAnsi="Times New Roman" w:cs="Times New Roman"/>
        </w:rPr>
        <w:t>和三年行动方案。</w:t>
      </w:r>
    </w:p>
    <w:p>
      <w:pPr>
        <w:ind w:firstLine="640"/>
        <w:rPr>
          <w:rFonts w:ascii="Times New Roman" w:hAnsi="Times New Roman" w:eastAsia="方正楷体_GBK" w:cs="Times New Roman"/>
        </w:rPr>
      </w:pPr>
      <w:r>
        <w:rPr>
          <w:rFonts w:ascii="Times New Roman" w:hAnsi="Times New Roman" w:eastAsia="方正楷体_GBK" w:cs="Times New Roman"/>
        </w:rPr>
        <w:t>（二）</w:t>
      </w:r>
      <w:r>
        <w:rPr>
          <w:rFonts w:hint="eastAsia" w:ascii="Times New Roman" w:hAnsi="Times New Roman" w:eastAsia="方正楷体_GBK" w:cs="Times New Roman"/>
        </w:rPr>
        <w:t>推动</w:t>
      </w:r>
      <w:r>
        <w:rPr>
          <w:rFonts w:ascii="Times New Roman" w:hAnsi="Times New Roman" w:eastAsia="方正楷体_GBK" w:cs="Times New Roman"/>
        </w:rPr>
        <w:t>城市</w:t>
      </w:r>
      <w:r>
        <w:rPr>
          <w:rFonts w:hint="eastAsia" w:ascii="Times New Roman" w:hAnsi="Times New Roman" w:eastAsia="方正楷体_GBK" w:cs="Times New Roman"/>
        </w:rPr>
        <w:t>高质量发展</w:t>
      </w:r>
      <w:r>
        <w:rPr>
          <w:rFonts w:ascii="Times New Roman" w:hAnsi="Times New Roman" w:eastAsia="方正楷体_GBK" w:cs="Times New Roman"/>
        </w:rPr>
        <w:t>现实需要</w:t>
      </w:r>
    </w:p>
    <w:p>
      <w:pPr>
        <w:ind w:firstLine="640"/>
        <w:rPr>
          <w:rFonts w:ascii="Times New Roman" w:hAnsi="Times New Roman" w:cs="Times New Roman"/>
        </w:rPr>
      </w:pPr>
      <w:r>
        <w:rPr>
          <w:rFonts w:ascii="Times New Roman" w:hAnsi="Times New Roman" w:cs="Times New Roman"/>
        </w:rPr>
        <w:t>江苏较全国更早从城镇化快速增长期转向稳定发展期，城市发展从大规模增量扩张转向存量提质增效阶段，</w:t>
      </w:r>
      <w:r>
        <w:rPr>
          <w:rFonts w:hint="eastAsia" w:ascii="Times New Roman" w:hAnsi="Times New Roman" w:cs="Times New Roman"/>
        </w:rPr>
        <w:t>城市更新已成为建设现代化人民城市、推动城市高质量发展的重要抓手。自2</w:t>
      </w:r>
      <w:r>
        <w:rPr>
          <w:rFonts w:ascii="Times New Roman" w:hAnsi="Times New Roman" w:cs="Times New Roman"/>
        </w:rPr>
        <w:t>022</w:t>
      </w:r>
      <w:r>
        <w:rPr>
          <w:rFonts w:hint="eastAsia" w:ascii="Times New Roman" w:hAnsi="Times New Roman" w:cs="Times New Roman"/>
        </w:rPr>
        <w:t>年我省启动省级试点项目以来，通过三年多的实践，</w:t>
      </w:r>
      <w:r>
        <w:rPr>
          <w:rFonts w:ascii="Times New Roman" w:hAnsi="Times New Roman" w:cs="Times New Roman"/>
          <w:color w:val="000000" w:themeColor="text1"/>
          <w:szCs w:val="36"/>
          <w14:textFill>
            <w14:solidFill>
              <w14:schemeClr w14:val="tx1"/>
            </w14:solidFill>
          </w14:textFill>
        </w:rPr>
        <w:t>一些</w:t>
      </w:r>
      <w:r>
        <w:rPr>
          <w:rFonts w:hint="eastAsia" w:ascii="Times New Roman" w:hAnsi="Times New Roman" w:cs="Times New Roman"/>
          <w:color w:val="000000" w:themeColor="text1"/>
          <w:szCs w:val="36"/>
          <w14:textFill>
            <w14:solidFill>
              <w14:schemeClr w14:val="tx1"/>
            </w14:solidFill>
          </w14:textFill>
        </w:rPr>
        <w:t>制约项目实施的</w:t>
      </w:r>
      <w:r>
        <w:rPr>
          <w:rFonts w:ascii="Times New Roman" w:hAnsi="Times New Roman" w:cs="Times New Roman"/>
          <w:color w:val="000000" w:themeColor="text1"/>
          <w:szCs w:val="36"/>
          <w14:textFill>
            <w14:solidFill>
              <w14:schemeClr w14:val="tx1"/>
            </w14:solidFill>
          </w14:textFill>
        </w:rPr>
        <w:t>深层</w:t>
      </w:r>
      <w:r>
        <w:rPr>
          <w:rFonts w:hint="eastAsia" w:ascii="Times New Roman" w:hAnsi="Times New Roman" w:cs="Times New Roman"/>
          <w:color w:val="000000" w:themeColor="text1"/>
          <w:szCs w:val="36"/>
          <w14:textFill>
            <w14:solidFill>
              <w14:schemeClr w14:val="tx1"/>
            </w14:solidFill>
          </w14:textFill>
        </w:rPr>
        <w:t>次</w:t>
      </w:r>
      <w:r>
        <w:rPr>
          <w:rFonts w:ascii="Times New Roman" w:hAnsi="Times New Roman" w:cs="Times New Roman"/>
          <w:color w:val="000000" w:themeColor="text1"/>
          <w:szCs w:val="36"/>
          <w14:textFill>
            <w14:solidFill>
              <w14:schemeClr w14:val="tx1"/>
            </w14:solidFill>
          </w14:textFill>
        </w:rPr>
        <w:t>问题逐步显现</w:t>
      </w:r>
      <w:r>
        <w:rPr>
          <w:rFonts w:hint="eastAsia" w:ascii="Times New Roman" w:hAnsi="Times New Roman" w:cs="Times New Roman"/>
          <w:color w:val="000000" w:themeColor="text1"/>
          <w:szCs w:val="36"/>
          <w14:textFill>
            <w14:solidFill>
              <w14:schemeClr w14:val="tx1"/>
            </w14:solidFill>
          </w14:textFill>
        </w:rPr>
        <w:t>。</w:t>
      </w:r>
      <w:r>
        <w:rPr>
          <w:rFonts w:ascii="Times New Roman" w:hAnsi="Times New Roman" w:cs="Times New Roman"/>
        </w:rPr>
        <w:t>围绕</w:t>
      </w:r>
      <w:r>
        <w:rPr>
          <w:rFonts w:hint="eastAsia" w:ascii="Times New Roman" w:hAnsi="Times New Roman" w:cs="Times New Roman"/>
        </w:rPr>
        <w:t>项目立项、规划用地、设计建造、策划运营，</w:t>
      </w:r>
      <w:r>
        <w:rPr>
          <w:rFonts w:ascii="Times New Roman" w:hAnsi="Times New Roman" w:cs="Times New Roman"/>
        </w:rPr>
        <w:t>存在</w:t>
      </w:r>
      <w:r>
        <w:rPr>
          <w:rFonts w:hint="eastAsia" w:ascii="Times New Roman" w:hAnsi="Times New Roman" w:cs="Times New Roman"/>
        </w:rPr>
        <w:t>不少</w:t>
      </w:r>
      <w:r>
        <w:rPr>
          <w:rFonts w:ascii="Times New Roman" w:hAnsi="Times New Roman" w:cs="Times New Roman"/>
        </w:rPr>
        <w:t>政策瓶颈</w:t>
      </w:r>
      <w:r>
        <w:rPr>
          <w:rFonts w:hint="eastAsia" w:ascii="Times New Roman" w:hAnsi="Times New Roman" w:cs="Times New Roman"/>
        </w:rPr>
        <w:t>；</w:t>
      </w:r>
      <w:r>
        <w:rPr>
          <w:rFonts w:ascii="Times New Roman" w:hAnsi="Times New Roman" w:cs="Times New Roman"/>
        </w:rPr>
        <w:t>围绕主体责任、部门职责、工作组织、实施机制</w:t>
      </w:r>
      <w:r>
        <w:rPr>
          <w:rFonts w:hint="eastAsia" w:ascii="Times New Roman" w:hAnsi="Times New Roman" w:cs="Times New Roman"/>
        </w:rPr>
        <w:t>，</w:t>
      </w:r>
      <w:r>
        <w:rPr>
          <w:rFonts w:ascii="Times New Roman" w:hAnsi="Times New Roman" w:cs="Times New Roman"/>
        </w:rPr>
        <w:t>存在不少现实问题。</w:t>
      </w:r>
      <w:r>
        <w:rPr>
          <w:rFonts w:ascii="Times New Roman" w:hAnsi="Times New Roman" w:cs="Times New Roman"/>
          <w:color w:val="000000" w:themeColor="text1"/>
          <w:szCs w:val="36"/>
          <w14:textFill>
            <w14:solidFill>
              <w14:schemeClr w14:val="tx1"/>
            </w14:solidFill>
          </w14:textFill>
        </w:rPr>
        <w:t>从省级行政单元看，目前辽宁、江西、浙江等多个省份以及上海、北京、天津等多个直辖市已出台了城市更新条例</w:t>
      </w:r>
      <w:r>
        <w:rPr>
          <w:rFonts w:ascii="Times New Roman" w:hAnsi="Times New Roman" w:cs="Times New Roman"/>
        </w:rPr>
        <w:t>，</w:t>
      </w:r>
      <w:r>
        <w:rPr>
          <w:rFonts w:ascii="Times New Roman" w:hAnsi="Times New Roman" w:cs="Times New Roman"/>
          <w:color w:val="000000" w:themeColor="text1"/>
          <w:szCs w:val="36"/>
          <w14:textFill>
            <w14:solidFill>
              <w14:schemeClr w14:val="tx1"/>
            </w14:solidFill>
          </w14:textFill>
        </w:rPr>
        <w:t>而我省城市更新尚无专项地方性法规，</w:t>
      </w:r>
      <w:r>
        <w:rPr>
          <w:rFonts w:ascii="Times New Roman" w:hAnsi="Times New Roman" w:cs="Times New Roman"/>
        </w:rPr>
        <w:t>有必要通过制定条例，促进现实问题解决、规范和完善工作机制，为城市更新提供法治保障。</w:t>
      </w:r>
    </w:p>
    <w:p>
      <w:pPr>
        <w:pStyle w:val="4"/>
        <w:ind w:firstLine="640"/>
        <w:rPr>
          <w:rFonts w:ascii="Times New Roman" w:hAnsi="Times New Roman" w:cs="Times New Roman"/>
        </w:rPr>
      </w:pPr>
      <w:r>
        <w:rPr>
          <w:rFonts w:ascii="Times New Roman" w:hAnsi="Times New Roman" w:cs="Times New Roman"/>
        </w:rPr>
        <w:t>二、工作进展</w:t>
      </w:r>
    </w:p>
    <w:p>
      <w:pPr>
        <w:pStyle w:val="16"/>
        <w:rPr>
          <w:rFonts w:cs="Times New Roman"/>
        </w:rPr>
      </w:pPr>
      <w:r>
        <w:rPr>
          <w:rFonts w:cs="Times New Roman"/>
        </w:rPr>
        <w:t>2025年</w:t>
      </w:r>
      <w:r>
        <w:rPr>
          <w:rFonts w:hint="eastAsia" w:cs="Times New Roman"/>
        </w:rPr>
        <w:t>以来，</w:t>
      </w:r>
      <w:r>
        <w:rPr>
          <w:rFonts w:cs="Times New Roman"/>
        </w:rPr>
        <w:t>结合省</w:t>
      </w:r>
      <w:r>
        <w:rPr>
          <w:rFonts w:hint="eastAsia" w:cs="Times New Roman"/>
        </w:rPr>
        <w:t>委</w:t>
      </w:r>
      <w:r>
        <w:rPr>
          <w:rFonts w:cs="Times New Roman"/>
        </w:rPr>
        <w:t>城市工作会议</w:t>
      </w:r>
      <w:r>
        <w:rPr>
          <w:rFonts w:hint="eastAsia" w:cs="Times New Roman"/>
        </w:rPr>
        <w:t>的</w:t>
      </w:r>
      <w:r>
        <w:rPr>
          <w:rFonts w:cs="Times New Roman"/>
        </w:rPr>
        <w:t>筹备以及</w:t>
      </w:r>
      <w:r>
        <w:rPr>
          <w:rFonts w:hint="eastAsia" w:ascii="方正仿宋_GBK" w:cs="Times New Roman"/>
        </w:rPr>
        <w:t>“十五五”</w:t>
      </w:r>
      <w:r>
        <w:rPr>
          <w:rFonts w:cs="Times New Roman"/>
        </w:rPr>
        <w:t>期间的全省城市更新工作谋划、城市更新有关难点堵点</w:t>
      </w:r>
      <w:r>
        <w:rPr>
          <w:rFonts w:hint="eastAsia" w:cs="Times New Roman"/>
        </w:rPr>
        <w:t>问题梳理</w:t>
      </w:r>
      <w:r>
        <w:rPr>
          <w:rFonts w:cs="Times New Roman"/>
        </w:rPr>
        <w:t>，我厅</w:t>
      </w:r>
      <w:r>
        <w:rPr>
          <w:rFonts w:hint="eastAsia" w:cs="Times New Roman"/>
        </w:rPr>
        <w:t>多次组织省内外调研，先后赴</w:t>
      </w:r>
      <w:r>
        <w:rPr>
          <w:rFonts w:cs="Times New Roman"/>
        </w:rPr>
        <w:t>重庆、辽宁、上海、浙江等</w:t>
      </w:r>
      <w:r>
        <w:rPr>
          <w:rFonts w:hint="eastAsia" w:cs="Times New Roman"/>
        </w:rPr>
        <w:t>地。</w:t>
      </w:r>
      <w:r>
        <w:rPr>
          <w:rFonts w:cs="Times New Roman"/>
        </w:rPr>
        <w:t>在《条例》尚未被列为正式立法项目之前，已形成</w:t>
      </w:r>
      <w:r>
        <w:rPr>
          <w:rFonts w:hint="eastAsia" w:cs="Times New Roman"/>
        </w:rPr>
        <w:t>若干</w:t>
      </w:r>
      <w:r>
        <w:rPr>
          <w:rFonts w:cs="Times New Roman"/>
        </w:rPr>
        <w:t>城市更新调研报告。</w:t>
      </w:r>
    </w:p>
    <w:p>
      <w:pPr>
        <w:ind w:firstLine="640"/>
        <w:rPr>
          <w:rFonts w:ascii="Times New Roman" w:hAnsi="Times New Roman" w:cs="Times New Roman"/>
          <w:szCs w:val="32"/>
        </w:rPr>
      </w:pPr>
      <w:r>
        <w:rPr>
          <w:rFonts w:ascii="Times New Roman" w:hAnsi="Times New Roman" w:cs="Times New Roman"/>
        </w:rPr>
        <w:t>2025年9月，</w:t>
      </w:r>
      <w:r>
        <w:rPr>
          <w:rFonts w:hint="eastAsia" w:ascii="Times New Roman" w:hAnsi="Times New Roman" w:cs="Times New Roman"/>
        </w:rPr>
        <w:t>省人大法工委提出将</w:t>
      </w:r>
      <w:r>
        <w:rPr>
          <w:rFonts w:ascii="Times New Roman" w:hAnsi="Times New Roman" w:cs="Times New Roman"/>
        </w:rPr>
        <w:t>《条例》</w:t>
      </w:r>
      <w:r>
        <w:rPr>
          <w:rFonts w:hint="eastAsia" w:ascii="Times New Roman" w:hAnsi="Times New Roman" w:cs="Times New Roman"/>
        </w:rPr>
        <w:t>作</w:t>
      </w:r>
      <w:r>
        <w:rPr>
          <w:rFonts w:ascii="Times New Roman" w:hAnsi="Times New Roman" w:cs="Times New Roman"/>
        </w:rPr>
        <w:t>为2026年正式立法项目</w:t>
      </w:r>
      <w:r>
        <w:rPr>
          <w:rFonts w:hint="eastAsia" w:ascii="Times New Roman" w:hAnsi="Times New Roman" w:cs="Times New Roman"/>
        </w:rPr>
        <w:t>推进</w:t>
      </w:r>
      <w:r>
        <w:rPr>
          <w:rFonts w:ascii="Times New Roman" w:hAnsi="Times New Roman" w:cs="Times New Roman"/>
        </w:rPr>
        <w:t>，我厅</w:t>
      </w:r>
      <w:r>
        <w:rPr>
          <w:rFonts w:hint="eastAsia" w:ascii="Times New Roman" w:hAnsi="Times New Roman" w:cs="Times New Roman"/>
        </w:rPr>
        <w:t>主要领导高度重视、亲自部署，</w:t>
      </w:r>
      <w:r>
        <w:rPr>
          <w:rFonts w:ascii="Times New Roman" w:hAnsi="Times New Roman" w:cs="Times New Roman"/>
        </w:rPr>
        <w:t>第一时间</w:t>
      </w:r>
      <w:r>
        <w:rPr>
          <w:rFonts w:ascii="Times New Roman" w:hAnsi="Times New Roman" w:cs="Times New Roman"/>
          <w:snapToGrid w:val="0"/>
          <w:kern w:val="0"/>
          <w:szCs w:val="20"/>
        </w:rPr>
        <w:t>成立立法工作组，结合</w:t>
      </w:r>
      <w:r>
        <w:rPr>
          <w:rFonts w:ascii="Times New Roman" w:hAnsi="Times New Roman" w:cs="Times New Roman"/>
          <w:szCs w:val="32"/>
        </w:rPr>
        <w:t>前期调研成果，迅速开展《条例》草案起草工作。</w:t>
      </w:r>
      <w:r>
        <w:rPr>
          <w:rFonts w:hint="default" w:ascii="Times New Roman" w:hAnsi="Times New Roman" w:eastAsia="方正仿宋_GBK" w:cs="Times New Roman"/>
          <w:bCs/>
          <w:sz w:val="32"/>
          <w:szCs w:val="32"/>
        </w:rPr>
        <w:t>2025年12月，厅设计处牵头起草形成《条例》草案初稿，同步制作《条例》对照表和立法依据汇编。2026年1月以来，为加快《条例》草案修改，厅设计处和法规处组织专人专班，拟定《条例》报省政府前立法起草工作进度表，与司法厅相关处室进行初步对接，书面征求厅内13个处室</w:t>
      </w:r>
      <w:r>
        <w:rPr>
          <w:rFonts w:hint="eastAsia" w:ascii="Times New Roman" w:hAnsi="Times New Roman" w:cs="Times New Roman"/>
          <w:bCs/>
          <w:sz w:val="32"/>
          <w:szCs w:val="32"/>
          <w:lang w:eastAsia="zh-CN"/>
        </w:rPr>
        <w:t>（</w:t>
      </w:r>
      <w:r>
        <w:rPr>
          <w:rFonts w:hint="default" w:ascii="Times New Roman" w:hAnsi="Times New Roman" w:eastAsia="方正仿宋_GBK" w:cs="Times New Roman"/>
          <w:bCs/>
          <w:sz w:val="32"/>
          <w:szCs w:val="32"/>
        </w:rPr>
        <w:t>单位</w:t>
      </w:r>
      <w:r>
        <w:rPr>
          <w:rFonts w:hint="eastAsia" w:ascii="Times New Roman" w:hAnsi="Times New Roman" w:cs="Times New Roman"/>
          <w:bCs/>
          <w:sz w:val="32"/>
          <w:szCs w:val="32"/>
          <w:lang w:eastAsia="zh-CN"/>
        </w:rPr>
        <w:t>）</w:t>
      </w:r>
      <w:r>
        <w:rPr>
          <w:rFonts w:hint="default" w:ascii="Times New Roman" w:hAnsi="Times New Roman" w:eastAsia="方正仿宋_GBK" w:cs="Times New Roman"/>
          <w:bCs/>
          <w:sz w:val="32"/>
          <w:szCs w:val="32"/>
        </w:rPr>
        <w:t>、13个设区市住房城乡建设主管部门意见，组织召开行政相对人座谈会，对征集的意见进行梳理，对《条例》草案进行集中修改，目前已形成《条例》草案征求意见稿。</w:t>
      </w:r>
      <w:r>
        <w:rPr>
          <w:rFonts w:ascii="Times New Roman" w:hAnsi="Times New Roman" w:cs="Times New Roman"/>
          <w:snapToGrid w:val="0"/>
          <w:kern w:val="0"/>
          <w:szCs w:val="20"/>
        </w:rPr>
        <w:t>需要说明的是，</w:t>
      </w:r>
      <w:r>
        <w:rPr>
          <w:rFonts w:ascii="Times New Roman" w:hAnsi="Times New Roman" w:cs="Times New Roman"/>
          <w:szCs w:val="32"/>
        </w:rPr>
        <w:t>因为国家层面尚未出台全局性、统领性的城市更新法律法规，《条例》起草过程中也显著遇到依据不足的困难。</w:t>
      </w:r>
    </w:p>
    <w:p>
      <w:pPr>
        <w:pStyle w:val="4"/>
        <w:ind w:firstLine="640"/>
        <w:rPr>
          <w:rFonts w:ascii="Times New Roman" w:hAnsi="Times New Roman" w:cs="Times New Roman"/>
        </w:rPr>
      </w:pPr>
      <w:r>
        <w:rPr>
          <w:rFonts w:ascii="Times New Roman" w:hAnsi="Times New Roman" w:cs="Times New Roman"/>
        </w:rPr>
        <w:t>三、主要内容</w:t>
      </w:r>
    </w:p>
    <w:p>
      <w:pPr>
        <w:ind w:firstLine="640"/>
        <w:rPr>
          <w:rFonts w:ascii="Times New Roman" w:hAnsi="Times New Roman" w:cs="Times New Roman"/>
        </w:rPr>
      </w:pPr>
      <w:r>
        <w:rPr>
          <w:rFonts w:ascii="Times New Roman" w:hAnsi="Times New Roman" w:cs="Times New Roman"/>
        </w:rPr>
        <w:t>在《条例》起草过程中，我厅立足贯彻落实党中央国务院决策部署和省委省政府工作要求，结合当前城市更新工作的实际，着力明确城市更新是什么、做什么、谁来做、怎么做，激励地方能动性、发挥多主体作用、鼓励形成创新包容的工作氛围。</w:t>
      </w:r>
    </w:p>
    <w:p>
      <w:pPr>
        <w:ind w:firstLine="640"/>
        <w:rPr>
          <w:rFonts w:ascii="Times New Roman" w:hAnsi="Times New Roman" w:cs="Times New Roman"/>
        </w:rPr>
      </w:pPr>
      <w:r>
        <w:rPr>
          <w:rFonts w:ascii="Times New Roman" w:hAnsi="Times New Roman" w:cs="Times New Roman"/>
          <w:szCs w:val="32"/>
        </w:rPr>
        <w:t>《条例》主要强调了以下几方面的内容：</w:t>
      </w:r>
      <w:r>
        <w:rPr>
          <w:rFonts w:ascii="黑体" w:hAnsi="黑体" w:eastAsia="黑体" w:cs="Times New Roman"/>
          <w:szCs w:val="32"/>
        </w:rPr>
        <w:t>一是</w:t>
      </w:r>
      <w:r>
        <w:rPr>
          <w:rFonts w:ascii="Times New Roman" w:hAnsi="Times New Roman" w:eastAsia="方正楷体_GBK" w:cs="Times New Roman"/>
          <w:szCs w:val="32"/>
        </w:rPr>
        <w:t>明确政府和部门职责。</w:t>
      </w:r>
      <w:r>
        <w:rPr>
          <w:rFonts w:ascii="Times New Roman" w:hAnsi="Times New Roman" w:cs="Times New Roman"/>
        </w:rPr>
        <w:t>明确县级以上人民政府的主体责任。</w:t>
      </w:r>
      <w:r>
        <w:rPr>
          <w:rFonts w:ascii="Times New Roman" w:hAnsi="Times New Roman" w:cs="Times New Roman"/>
          <w:color w:val="0F1115"/>
          <w:shd w:val="clear" w:color="auto" w:fill="FFFFFF"/>
        </w:rPr>
        <w:t>明确了各级住房城乡建设部门在城市更新工作的统筹作用以及负责事项，自然资源、发展改革、商务、文旅、财政等与城市更新关联度大的部门在推进城市更新工作中负责的事项。</w:t>
      </w:r>
      <w:r>
        <w:rPr>
          <w:rFonts w:ascii="黑体" w:hAnsi="黑体" w:eastAsia="黑体" w:cs="Times New Roman"/>
          <w:szCs w:val="32"/>
        </w:rPr>
        <w:t>二是</w:t>
      </w:r>
      <w:r>
        <w:rPr>
          <w:rFonts w:ascii="Times New Roman" w:hAnsi="Times New Roman" w:eastAsia="方正楷体_GBK" w:cs="Times New Roman"/>
          <w:szCs w:val="32"/>
        </w:rPr>
        <w:t>规范城市更新工作流程。</w:t>
      </w:r>
      <w:r>
        <w:rPr>
          <w:rFonts w:ascii="Times New Roman" w:hAnsi="Times New Roman" w:cs="Times New Roman"/>
          <w:color w:val="0F1115"/>
          <w:shd w:val="clear" w:color="auto" w:fill="FFFFFF"/>
        </w:rPr>
        <w:t>设计了</w:t>
      </w:r>
      <w:r>
        <w:rPr>
          <w:rFonts w:hint="eastAsia" w:ascii="方正仿宋_GBK" w:hAnsi="Times New Roman" w:cs="Times New Roman"/>
          <w:color w:val="0F1115"/>
          <w:shd w:val="clear" w:color="auto" w:fill="FFFFFF"/>
        </w:rPr>
        <w:t>“城市</w:t>
      </w:r>
      <w:r>
        <w:rPr>
          <w:rFonts w:hint="eastAsia" w:ascii="方正仿宋_GBK" w:hAnsi="Times New Roman" w:cs="Times New Roman"/>
        </w:rPr>
        <w:t>体检-城市更新专项规划-片区策划-项目实施方案-项目库-年度计划</w:t>
      </w:r>
      <w:r>
        <w:rPr>
          <w:rFonts w:hint="eastAsia" w:ascii="方正仿宋_GBK" w:hAnsi="Times New Roman" w:cs="Times New Roman"/>
          <w:color w:val="0F1115"/>
          <w:shd w:val="clear" w:color="auto" w:fill="FFFFFF"/>
        </w:rPr>
        <w:t>”</w:t>
      </w:r>
      <w:r>
        <w:rPr>
          <w:rFonts w:ascii="Times New Roman" w:hAnsi="Times New Roman" w:cs="Times New Roman"/>
          <w:color w:val="0F1115"/>
          <w:shd w:val="clear" w:color="auto" w:fill="FFFFFF"/>
        </w:rPr>
        <w:t>的完整工作流程，面向实施</w:t>
      </w:r>
      <w:r>
        <w:rPr>
          <w:rFonts w:hint="eastAsia" w:ascii="Times New Roman" w:hAnsi="Times New Roman" w:cs="Times New Roman"/>
          <w:color w:val="0F1115"/>
          <w:shd w:val="clear" w:color="auto" w:fill="FFFFFF"/>
        </w:rPr>
        <w:t>，</w:t>
      </w:r>
      <w:r>
        <w:rPr>
          <w:rFonts w:ascii="Times New Roman" w:hAnsi="Times New Roman" w:cs="Times New Roman"/>
          <w:color w:val="0F1115"/>
          <w:shd w:val="clear" w:color="auto" w:fill="FFFFFF"/>
        </w:rPr>
        <w:t>落实了国家一体化推进城市体检与城市更新的工作要求。</w:t>
      </w:r>
      <w:r>
        <w:rPr>
          <w:rFonts w:ascii="黑体" w:hAnsi="黑体" w:eastAsia="黑体" w:cs="Times New Roman"/>
          <w:szCs w:val="32"/>
        </w:rPr>
        <w:t>三是</w:t>
      </w:r>
      <w:r>
        <w:rPr>
          <w:rFonts w:ascii="Times New Roman" w:hAnsi="Times New Roman" w:eastAsia="方正楷体_GBK" w:cs="Times New Roman"/>
          <w:szCs w:val="32"/>
        </w:rPr>
        <w:t>优化城市更新项目实施程序。</w:t>
      </w:r>
      <w:r>
        <w:rPr>
          <w:rFonts w:ascii="Times New Roman" w:hAnsi="Times New Roman" w:cs="Times New Roman"/>
        </w:rPr>
        <w:t>围绕</w:t>
      </w:r>
      <w:r>
        <w:rPr>
          <w:rFonts w:hint="eastAsia" w:ascii="方正仿宋_GBK" w:hAnsi="Times New Roman" w:cs="Times New Roman"/>
          <w:color w:val="0F1115"/>
          <w:shd w:val="clear" w:color="auto" w:fill="FFFFFF"/>
        </w:rPr>
        <w:t>产权归集、规划许可、施工许可施工图审查、消防审验、不动产登记等</w:t>
      </w:r>
      <w:r>
        <w:rPr>
          <w:rFonts w:ascii="Times New Roman" w:hAnsi="Times New Roman" w:cs="Times New Roman"/>
        </w:rPr>
        <w:t>环节的证照办理，明晰各种可以简化、豁免、替代的情形，为实施主体进行项目实施解绑松绑，同时鼓励长效运营以提高更新实效。</w:t>
      </w:r>
      <w:r>
        <w:rPr>
          <w:rFonts w:ascii="黑体" w:hAnsi="黑体" w:eastAsia="黑体" w:cs="Times New Roman"/>
          <w:szCs w:val="32"/>
        </w:rPr>
        <w:t>四是</w:t>
      </w:r>
      <w:r>
        <w:rPr>
          <w:rFonts w:ascii="Times New Roman" w:hAnsi="Times New Roman" w:eastAsia="方正楷体_GBK" w:cs="Times New Roman"/>
          <w:szCs w:val="32"/>
        </w:rPr>
        <w:t>夯实城市更新要素保障。</w:t>
      </w:r>
      <w:r>
        <w:rPr>
          <w:rFonts w:ascii="Times New Roman" w:hAnsi="Times New Roman" w:cs="Times New Roman"/>
        </w:rPr>
        <w:t>围绕</w:t>
      </w:r>
      <w:r>
        <w:rPr>
          <w:rFonts w:hint="eastAsia" w:ascii="方正仿宋_GBK" w:hAnsi="Times New Roman" w:cs="Times New Roman"/>
          <w:color w:val="0F1115"/>
          <w:shd w:val="clear" w:color="auto" w:fill="FFFFFF"/>
        </w:rPr>
        <w:t>资金来源、规划指标、土地供应、功能转换、价款核定等城市更</w:t>
      </w:r>
      <w:r>
        <w:rPr>
          <w:rFonts w:ascii="Times New Roman" w:hAnsi="Times New Roman" w:cs="Times New Roman"/>
        </w:rPr>
        <w:t>新当前多方关切的难点堵点问题，进行针对性条款规定，既固化了全省既有</w:t>
      </w:r>
      <w:r>
        <w:rPr>
          <w:rFonts w:hint="eastAsia" w:ascii="Times New Roman" w:hAnsi="Times New Roman" w:cs="Times New Roman"/>
        </w:rPr>
        <w:t>出台的</w:t>
      </w:r>
      <w:r>
        <w:rPr>
          <w:rFonts w:ascii="Times New Roman" w:hAnsi="Times New Roman" w:cs="Times New Roman"/>
        </w:rPr>
        <w:t>政策</w:t>
      </w:r>
      <w:r>
        <w:rPr>
          <w:rFonts w:hint="eastAsia" w:ascii="Times New Roman" w:hAnsi="Times New Roman" w:cs="Times New Roman"/>
        </w:rPr>
        <w:t>措施</w:t>
      </w:r>
      <w:r>
        <w:rPr>
          <w:rFonts w:ascii="Times New Roman" w:hAnsi="Times New Roman" w:cs="Times New Roman"/>
        </w:rPr>
        <w:t>，也将为接下来全省更多政策出台提供依据。</w:t>
      </w:r>
      <w:r>
        <w:rPr>
          <w:rFonts w:ascii="黑体" w:hAnsi="黑体" w:eastAsia="黑体" w:cs="Times New Roman"/>
          <w:szCs w:val="32"/>
        </w:rPr>
        <w:t>五是</w:t>
      </w:r>
      <w:r>
        <w:rPr>
          <w:rFonts w:ascii="Times New Roman" w:hAnsi="Times New Roman" w:eastAsia="方正楷体_GBK" w:cs="Times New Roman"/>
          <w:szCs w:val="32"/>
        </w:rPr>
        <w:t>推动物业权利人和市场主体参与更新。</w:t>
      </w:r>
      <w:r>
        <w:rPr>
          <w:rFonts w:hint="eastAsia" w:ascii="Times New Roman" w:hAnsi="Times New Roman" w:cs="Times New Roman"/>
        </w:rPr>
        <w:t>公开城市更新信息，为多方参与提供渠道。明确物业权利人、市场主体成为城市更新项目实施主体、片区统筹主体的情形</w:t>
      </w:r>
      <w:r>
        <w:rPr>
          <w:rFonts w:ascii="Times New Roman" w:hAnsi="Times New Roman" w:cs="Times New Roman"/>
        </w:rPr>
        <w:t>。对于</w:t>
      </w:r>
      <w:r>
        <w:rPr>
          <w:rFonts w:hint="eastAsia" w:ascii="Times New Roman" w:hAnsi="Times New Roman" w:cs="Times New Roman"/>
        </w:rPr>
        <w:t>物业权利人</w:t>
      </w:r>
      <w:r>
        <w:rPr>
          <w:rFonts w:ascii="Times New Roman" w:hAnsi="Times New Roman" w:cs="Times New Roman"/>
          <w:color w:val="0F1115"/>
          <w:shd w:val="clear" w:color="auto" w:fill="FFFFFF"/>
        </w:rPr>
        <w:t>自主更新中</w:t>
      </w:r>
      <w:r>
        <w:rPr>
          <w:rFonts w:hint="eastAsia" w:ascii="Times New Roman" w:hAnsi="Times New Roman" w:cs="Times New Roman"/>
          <w:color w:val="0F1115"/>
          <w:shd w:val="clear" w:color="auto" w:fill="FFFFFF"/>
        </w:rPr>
        <w:t>社会各界</w:t>
      </w:r>
      <w:r>
        <w:rPr>
          <w:rFonts w:ascii="Times New Roman" w:hAnsi="Times New Roman" w:cs="Times New Roman"/>
          <w:color w:val="0F1115"/>
          <w:shd w:val="clear" w:color="auto" w:fill="FFFFFF"/>
        </w:rPr>
        <w:t>关注度最高的老旧住房</w:t>
      </w:r>
      <w:r>
        <w:rPr>
          <w:rFonts w:hint="eastAsia" w:ascii="Times New Roman" w:hAnsi="Times New Roman" w:cs="Times New Roman"/>
          <w:color w:val="0F1115"/>
          <w:shd w:val="clear" w:color="auto" w:fill="FFFFFF"/>
        </w:rPr>
        <w:t>自主更新</w:t>
      </w:r>
      <w:r>
        <w:rPr>
          <w:rFonts w:ascii="Times New Roman" w:hAnsi="Times New Roman" w:cs="Times New Roman"/>
          <w:color w:val="0F1115"/>
          <w:shd w:val="clear" w:color="auto" w:fill="FFFFFF"/>
        </w:rPr>
        <w:t>，</w:t>
      </w:r>
      <w:r>
        <w:rPr>
          <w:rFonts w:hint="eastAsia" w:ascii="Times New Roman" w:hAnsi="Times New Roman" w:cs="Times New Roman"/>
          <w:color w:val="0F1115"/>
          <w:shd w:val="clear" w:color="auto" w:fill="FFFFFF"/>
        </w:rPr>
        <w:t>根据事权</w:t>
      </w:r>
      <w:r>
        <w:rPr>
          <w:rFonts w:ascii="Times New Roman" w:hAnsi="Times New Roman" w:cs="Times New Roman"/>
          <w:color w:val="0F1115"/>
          <w:shd w:val="clear" w:color="auto" w:fill="FFFFFF"/>
        </w:rPr>
        <w:t>赋权地方</w:t>
      </w:r>
      <w:r>
        <w:rPr>
          <w:rFonts w:hint="eastAsia" w:ascii="Times New Roman" w:hAnsi="Times New Roman" w:cs="Times New Roman"/>
          <w:color w:val="0F1115"/>
          <w:shd w:val="clear" w:color="auto" w:fill="FFFFFF"/>
        </w:rPr>
        <w:t>完善</w:t>
      </w:r>
      <w:r>
        <w:rPr>
          <w:rFonts w:ascii="Times New Roman" w:hAnsi="Times New Roman" w:cs="Times New Roman"/>
          <w:color w:val="0F1115"/>
          <w:shd w:val="clear" w:color="auto" w:fill="FFFFFF"/>
        </w:rPr>
        <w:t>实施流程，并在产权归集配置上提出正向实施引导。</w:t>
      </w:r>
    </w:p>
    <w:p>
      <w:pPr>
        <w:pStyle w:val="4"/>
        <w:ind w:firstLine="640"/>
        <w:rPr>
          <w:rFonts w:ascii="Times New Roman" w:hAnsi="Times New Roman" w:cs="Times New Roman"/>
        </w:rPr>
      </w:pPr>
      <w:r>
        <w:rPr>
          <w:rFonts w:ascii="Times New Roman" w:hAnsi="Times New Roman" w:cs="Times New Roman"/>
        </w:rPr>
        <w:t>四、后续安排</w:t>
      </w:r>
    </w:p>
    <w:p>
      <w:pPr>
        <w:ind w:firstLine="640"/>
        <w:rPr>
          <w:rFonts w:ascii="Times New Roman" w:hAnsi="Times New Roman" w:eastAsia="方正楷体_GBK" w:cs="Times New Roman"/>
          <w:snapToGrid w:val="0"/>
          <w:kern w:val="0"/>
          <w:szCs w:val="20"/>
        </w:rPr>
      </w:pPr>
      <w:r>
        <w:rPr>
          <w:rFonts w:ascii="Times New Roman" w:hAnsi="Times New Roman" w:cs="Times New Roman"/>
          <w:szCs w:val="32"/>
        </w:rPr>
        <w:t>下一步，我厅将对</w:t>
      </w:r>
      <w:r>
        <w:rPr>
          <w:rFonts w:hint="eastAsia" w:ascii="Times New Roman" w:hAnsi="Times New Roman" w:cs="Times New Roman"/>
          <w:szCs w:val="32"/>
        </w:rPr>
        <w:t>条例中的</w:t>
      </w:r>
      <w:r>
        <w:rPr>
          <w:rFonts w:ascii="Times New Roman" w:hAnsi="Times New Roman" w:cs="Times New Roman"/>
          <w:szCs w:val="32"/>
        </w:rPr>
        <w:t>城市更新规划实施体系构建、行政审批豁免等重要制度召开专家咨询会</w:t>
      </w:r>
      <w:r>
        <w:rPr>
          <w:rFonts w:hint="eastAsia" w:ascii="Times New Roman" w:hAnsi="Times New Roman" w:cs="Times New Roman"/>
          <w:szCs w:val="32"/>
          <w:lang w:eastAsia="zh-CN"/>
        </w:rPr>
        <w:t>，</w:t>
      </w:r>
      <w:r>
        <w:rPr>
          <w:rFonts w:ascii="Times New Roman" w:hAnsi="Times New Roman" w:cs="Times New Roman"/>
          <w:szCs w:val="32"/>
        </w:rPr>
        <w:t>及时开展</w:t>
      </w:r>
      <w:r>
        <w:rPr>
          <w:rFonts w:hint="eastAsia" w:ascii="Times New Roman" w:hAnsi="Times New Roman" w:cs="Times New Roman"/>
          <w:szCs w:val="32"/>
          <w:lang w:eastAsia="zh-CN"/>
        </w:rPr>
        <w:t>省有关部门、社会公开</w:t>
      </w:r>
      <w:r>
        <w:rPr>
          <w:rFonts w:ascii="Times New Roman" w:hAnsi="Times New Roman" w:cs="Times New Roman"/>
          <w:szCs w:val="32"/>
        </w:rPr>
        <w:t>意见征求，按时提请省政府与省人大组织审查。</w:t>
      </w:r>
    </w:p>
    <w:p>
      <w:pPr>
        <w:pStyle w:val="4"/>
        <w:ind w:firstLine="480"/>
        <w:rPr>
          <w:rFonts w:ascii="Times New Roman" w:hAnsi="Times New Roman" w:cs="Times New Roman"/>
          <w:sz w:val="24"/>
          <w:szCs w:val="24"/>
        </w:rPr>
      </w:pP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DejaVu Sans">
    <w:altName w:val="Segoe Print"/>
    <w:panose1 w:val="020B0603030804020204"/>
    <w:charset w:val="00"/>
    <w:family w:val="auto"/>
    <w:pitch w:val="default"/>
    <w:sig w:usb0="00000000" w:usb1="00000000" w:usb2="0A246029" w:usb3="0400200C" w:csb0="600001FF" w:csb1="DFFF0000"/>
  </w:font>
  <w:font w:name="NanumGothic">
    <w:altName w:val="Adobe Gothic Std B"/>
    <w:panose1 w:val="020D0604000000000000"/>
    <w:charset w:val="81"/>
    <w:family w:val="auto"/>
    <w:pitch w:val="default"/>
    <w:sig w:usb0="00000000" w:usb1="00000000" w:usb2="00000010" w:usb3="00000000" w:csb0="00080001" w:csb1="00000000"/>
  </w:font>
  <w:font w:name="等线 Light">
    <w:altName w:val="Segoe Print"/>
    <w:panose1 w:val="00000000000000000000"/>
    <w:charset w:val="00"/>
    <w:family w:val="auto"/>
    <w:pitch w:val="default"/>
    <w:sig w:usb0="00000000" w:usb1="00000000" w:usb2="00000000" w:usb3="00000000" w:csb0="00000000" w:csb1="00000000"/>
  </w:font>
  <w:font w:name="汉仪仿宋S">
    <w:altName w:val="仿宋"/>
    <w:panose1 w:val="00020600040101000101"/>
    <w:charset w:val="86"/>
    <w:family w:val="auto"/>
    <w:pitch w:val="default"/>
    <w:sig w:usb0="00000000" w:usb1="00000000" w:usb2="00000016" w:usb3="00000000" w:csb0="0004009F" w:csb1="00000000"/>
  </w:font>
  <w:font w:name="华文新魏">
    <w:panose1 w:val="02010800040101010101"/>
    <w:charset w:val="86"/>
    <w:family w:val="auto"/>
    <w:pitch w:val="default"/>
    <w:sig w:usb0="00000001" w:usb1="080F0000" w:usb2="00000000" w:usb3="00000000" w:csb0="00040000" w:csb1="00000000"/>
  </w:font>
  <w:font w:name="等线">
    <w:altName w:val="宋体"/>
    <w:panose1 w:val="00000000000000000000"/>
    <w:charset w:val="86"/>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dobe Gothic Std B">
    <w:panose1 w:val="020B0800000000000000"/>
    <w:charset w:val="80"/>
    <w:family w:val="auto"/>
    <w:pitch w:val="default"/>
    <w:sig w:usb0="00000001" w:usb1="21D72C10" w:usb2="00000010" w:usb3="00000000" w:csb0="602A0005" w:csb1="00000000"/>
  </w:font>
  <w:font w:name="仿宋">
    <w:panose1 w:val="02010609060101010101"/>
    <w:charset w:val="86"/>
    <w:family w:val="auto"/>
    <w:pitch w:val="default"/>
    <w:sig w:usb0="800002BF" w:usb1="38CF7CFA" w:usb2="00000016" w:usb3="00000000" w:csb0="00040001" w:csb1="00000000"/>
  </w:font>
  <w:font w:name="等线">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5800465"/>
    </w:sdtPr>
    <w:sdtContent>
      <w:p>
        <w:pPr>
          <w:pStyle w:val="6"/>
          <w:ind w:firstLine="360"/>
          <w:jc w:val="center"/>
        </w:pPr>
        <w:r>
          <w:rPr>
            <w:rFonts w:ascii="宋体" w:hAnsi="宋体" w:eastAsia="宋体"/>
            <w:sz w:val="21"/>
            <w:szCs w:val="21"/>
          </w:rPr>
          <w:fldChar w:fldCharType="begin"/>
        </w:r>
        <w:r>
          <w:rPr>
            <w:rFonts w:ascii="宋体" w:hAnsi="宋体" w:eastAsia="宋体"/>
            <w:sz w:val="21"/>
            <w:szCs w:val="21"/>
          </w:rPr>
          <w:instrText xml:space="preserve">PAGE   \* MERGEFORMAT</w:instrText>
        </w:r>
        <w:r>
          <w:rPr>
            <w:rFonts w:ascii="宋体" w:hAnsi="宋体" w:eastAsia="宋体"/>
            <w:sz w:val="21"/>
            <w:szCs w:val="21"/>
          </w:rPr>
          <w:fldChar w:fldCharType="separate"/>
        </w:r>
        <w:r>
          <w:rPr>
            <w:rFonts w:ascii="宋体" w:hAnsi="宋体" w:eastAsia="宋体"/>
            <w:sz w:val="21"/>
            <w:szCs w:val="21"/>
            <w:lang w:val="zh-CN"/>
          </w:rPr>
          <w:t>-</w:t>
        </w:r>
        <w:r>
          <w:rPr>
            <w:rFonts w:ascii="宋体" w:hAnsi="宋体" w:eastAsia="宋体"/>
            <w:sz w:val="21"/>
            <w:szCs w:val="21"/>
          </w:rPr>
          <w:t xml:space="preserve"> 2 -</w:t>
        </w:r>
        <w:r>
          <w:rPr>
            <w:rFonts w:ascii="宋体" w:hAnsi="宋体" w:eastAsia="宋体"/>
            <w:sz w:val="21"/>
            <w:szCs w:val="21"/>
          </w:rPr>
          <w:fldChar w:fldCharType="end"/>
        </w:r>
      </w:p>
    </w:sdtContent>
  </w:sdt>
  <w:p>
    <w:pPr>
      <w:pStyle w:val="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A56"/>
    <w:rsid w:val="0000208A"/>
    <w:rsid w:val="0000575D"/>
    <w:rsid w:val="00011D07"/>
    <w:rsid w:val="00025792"/>
    <w:rsid w:val="00030095"/>
    <w:rsid w:val="0003327B"/>
    <w:rsid w:val="00033F73"/>
    <w:rsid w:val="00037D4C"/>
    <w:rsid w:val="00037D76"/>
    <w:rsid w:val="00042A78"/>
    <w:rsid w:val="0005064E"/>
    <w:rsid w:val="000519ED"/>
    <w:rsid w:val="00053DAA"/>
    <w:rsid w:val="000610CB"/>
    <w:rsid w:val="00065977"/>
    <w:rsid w:val="00067F25"/>
    <w:rsid w:val="00071D88"/>
    <w:rsid w:val="00071DAF"/>
    <w:rsid w:val="00074DED"/>
    <w:rsid w:val="000803B9"/>
    <w:rsid w:val="000808DE"/>
    <w:rsid w:val="0008279E"/>
    <w:rsid w:val="0008674D"/>
    <w:rsid w:val="0008771A"/>
    <w:rsid w:val="0009478B"/>
    <w:rsid w:val="0009608A"/>
    <w:rsid w:val="00097B8E"/>
    <w:rsid w:val="000A12E0"/>
    <w:rsid w:val="000A2863"/>
    <w:rsid w:val="000A6D99"/>
    <w:rsid w:val="000B0EFB"/>
    <w:rsid w:val="000B153D"/>
    <w:rsid w:val="000B5FC5"/>
    <w:rsid w:val="000C1719"/>
    <w:rsid w:val="000C3A66"/>
    <w:rsid w:val="000C69E9"/>
    <w:rsid w:val="000D1F14"/>
    <w:rsid w:val="000D2534"/>
    <w:rsid w:val="000D46FC"/>
    <w:rsid w:val="000D5C7B"/>
    <w:rsid w:val="000F1BEA"/>
    <w:rsid w:val="000F2687"/>
    <w:rsid w:val="000F6F2F"/>
    <w:rsid w:val="00102173"/>
    <w:rsid w:val="00117B76"/>
    <w:rsid w:val="00140051"/>
    <w:rsid w:val="001412CD"/>
    <w:rsid w:val="001444C0"/>
    <w:rsid w:val="00153236"/>
    <w:rsid w:val="0015670D"/>
    <w:rsid w:val="001570A7"/>
    <w:rsid w:val="00160CB7"/>
    <w:rsid w:val="00166356"/>
    <w:rsid w:val="00167566"/>
    <w:rsid w:val="00167F38"/>
    <w:rsid w:val="001742F6"/>
    <w:rsid w:val="0017675A"/>
    <w:rsid w:val="00176C27"/>
    <w:rsid w:val="00192F01"/>
    <w:rsid w:val="001A2D78"/>
    <w:rsid w:val="001A59C4"/>
    <w:rsid w:val="001A6EC0"/>
    <w:rsid w:val="001A72DD"/>
    <w:rsid w:val="001B4793"/>
    <w:rsid w:val="001B5390"/>
    <w:rsid w:val="001B5834"/>
    <w:rsid w:val="001B64B8"/>
    <w:rsid w:val="001C6CE3"/>
    <w:rsid w:val="001D0E5E"/>
    <w:rsid w:val="001D6049"/>
    <w:rsid w:val="001E2996"/>
    <w:rsid w:val="00200428"/>
    <w:rsid w:val="00207462"/>
    <w:rsid w:val="00211984"/>
    <w:rsid w:val="00224681"/>
    <w:rsid w:val="00237578"/>
    <w:rsid w:val="00240416"/>
    <w:rsid w:val="002434A3"/>
    <w:rsid w:val="00243615"/>
    <w:rsid w:val="0025094F"/>
    <w:rsid w:val="002528DC"/>
    <w:rsid w:val="0025385A"/>
    <w:rsid w:val="00256218"/>
    <w:rsid w:val="00256A96"/>
    <w:rsid w:val="00261CBD"/>
    <w:rsid w:val="00265B9C"/>
    <w:rsid w:val="002712D8"/>
    <w:rsid w:val="00275868"/>
    <w:rsid w:val="00283913"/>
    <w:rsid w:val="002A50E9"/>
    <w:rsid w:val="002B4F77"/>
    <w:rsid w:val="002C5A8C"/>
    <w:rsid w:val="002C6D6E"/>
    <w:rsid w:val="002C7AE4"/>
    <w:rsid w:val="002D4C24"/>
    <w:rsid w:val="002E7AA4"/>
    <w:rsid w:val="002F3789"/>
    <w:rsid w:val="00311C26"/>
    <w:rsid w:val="00314120"/>
    <w:rsid w:val="003165A9"/>
    <w:rsid w:val="003166DE"/>
    <w:rsid w:val="00316AB4"/>
    <w:rsid w:val="00321431"/>
    <w:rsid w:val="00321D9D"/>
    <w:rsid w:val="00326189"/>
    <w:rsid w:val="00340C64"/>
    <w:rsid w:val="00341807"/>
    <w:rsid w:val="00344067"/>
    <w:rsid w:val="00361795"/>
    <w:rsid w:val="00364936"/>
    <w:rsid w:val="00365E7D"/>
    <w:rsid w:val="003751B9"/>
    <w:rsid w:val="0039021A"/>
    <w:rsid w:val="00390684"/>
    <w:rsid w:val="003A5F69"/>
    <w:rsid w:val="003A6485"/>
    <w:rsid w:val="003B1010"/>
    <w:rsid w:val="003B1F5E"/>
    <w:rsid w:val="003B53EA"/>
    <w:rsid w:val="003B5F27"/>
    <w:rsid w:val="003C277E"/>
    <w:rsid w:val="003C6E6F"/>
    <w:rsid w:val="003C7ACB"/>
    <w:rsid w:val="003D392A"/>
    <w:rsid w:val="003D57E9"/>
    <w:rsid w:val="003E2FB9"/>
    <w:rsid w:val="0040617A"/>
    <w:rsid w:val="004144D0"/>
    <w:rsid w:val="00414C89"/>
    <w:rsid w:val="00420E1E"/>
    <w:rsid w:val="0042502F"/>
    <w:rsid w:val="00432DB7"/>
    <w:rsid w:val="0043398C"/>
    <w:rsid w:val="00462AC2"/>
    <w:rsid w:val="00480906"/>
    <w:rsid w:val="0048107A"/>
    <w:rsid w:val="00482001"/>
    <w:rsid w:val="00486DA4"/>
    <w:rsid w:val="00490036"/>
    <w:rsid w:val="00495B31"/>
    <w:rsid w:val="00497F2F"/>
    <w:rsid w:val="004B3EA1"/>
    <w:rsid w:val="004B4F94"/>
    <w:rsid w:val="004C5864"/>
    <w:rsid w:val="004D17B0"/>
    <w:rsid w:val="004E4DB2"/>
    <w:rsid w:val="00504EDB"/>
    <w:rsid w:val="00506BF5"/>
    <w:rsid w:val="00523175"/>
    <w:rsid w:val="00523B9F"/>
    <w:rsid w:val="005259B0"/>
    <w:rsid w:val="00532B17"/>
    <w:rsid w:val="00541051"/>
    <w:rsid w:val="005427FC"/>
    <w:rsid w:val="00546DFE"/>
    <w:rsid w:val="00552F2B"/>
    <w:rsid w:val="00555D55"/>
    <w:rsid w:val="005640E3"/>
    <w:rsid w:val="0057366D"/>
    <w:rsid w:val="0057589B"/>
    <w:rsid w:val="00576153"/>
    <w:rsid w:val="005876AE"/>
    <w:rsid w:val="005A0D94"/>
    <w:rsid w:val="005A40F1"/>
    <w:rsid w:val="005A589B"/>
    <w:rsid w:val="005D7417"/>
    <w:rsid w:val="005E69F1"/>
    <w:rsid w:val="005F3D53"/>
    <w:rsid w:val="00605172"/>
    <w:rsid w:val="00620717"/>
    <w:rsid w:val="006233DE"/>
    <w:rsid w:val="006237D7"/>
    <w:rsid w:val="00630DC5"/>
    <w:rsid w:val="0063575A"/>
    <w:rsid w:val="006529A4"/>
    <w:rsid w:val="006579B3"/>
    <w:rsid w:val="00670CF9"/>
    <w:rsid w:val="006833F0"/>
    <w:rsid w:val="006B533B"/>
    <w:rsid w:val="006B7D7C"/>
    <w:rsid w:val="006B7F74"/>
    <w:rsid w:val="006C416E"/>
    <w:rsid w:val="006D6CA2"/>
    <w:rsid w:val="006E789F"/>
    <w:rsid w:val="006F4F4E"/>
    <w:rsid w:val="00705E6E"/>
    <w:rsid w:val="007326C2"/>
    <w:rsid w:val="00732B22"/>
    <w:rsid w:val="0073568E"/>
    <w:rsid w:val="00746BFA"/>
    <w:rsid w:val="007537F9"/>
    <w:rsid w:val="00756E64"/>
    <w:rsid w:val="00765F1B"/>
    <w:rsid w:val="00771229"/>
    <w:rsid w:val="0077367B"/>
    <w:rsid w:val="007852C0"/>
    <w:rsid w:val="007A196D"/>
    <w:rsid w:val="007B4A40"/>
    <w:rsid w:val="007B4F10"/>
    <w:rsid w:val="007C67A5"/>
    <w:rsid w:val="007E6888"/>
    <w:rsid w:val="007F1F28"/>
    <w:rsid w:val="007F52E9"/>
    <w:rsid w:val="007F5EB2"/>
    <w:rsid w:val="007F793A"/>
    <w:rsid w:val="007F7D9D"/>
    <w:rsid w:val="00800542"/>
    <w:rsid w:val="00803B88"/>
    <w:rsid w:val="008109B8"/>
    <w:rsid w:val="00812353"/>
    <w:rsid w:val="00814C3E"/>
    <w:rsid w:val="00814E69"/>
    <w:rsid w:val="00826F11"/>
    <w:rsid w:val="00827585"/>
    <w:rsid w:val="00833B1B"/>
    <w:rsid w:val="00833EC8"/>
    <w:rsid w:val="008350B2"/>
    <w:rsid w:val="00841F87"/>
    <w:rsid w:val="00843924"/>
    <w:rsid w:val="00850DA7"/>
    <w:rsid w:val="0085352C"/>
    <w:rsid w:val="00863926"/>
    <w:rsid w:val="0086650D"/>
    <w:rsid w:val="0086716A"/>
    <w:rsid w:val="00867DD3"/>
    <w:rsid w:val="00875B1E"/>
    <w:rsid w:val="008825EB"/>
    <w:rsid w:val="00885B93"/>
    <w:rsid w:val="00890BDB"/>
    <w:rsid w:val="008924D9"/>
    <w:rsid w:val="00897808"/>
    <w:rsid w:val="008A00E6"/>
    <w:rsid w:val="008B7682"/>
    <w:rsid w:val="008C14B0"/>
    <w:rsid w:val="008C3152"/>
    <w:rsid w:val="008C7858"/>
    <w:rsid w:val="008D2AAB"/>
    <w:rsid w:val="008D7939"/>
    <w:rsid w:val="008F2200"/>
    <w:rsid w:val="008F7A1E"/>
    <w:rsid w:val="00914954"/>
    <w:rsid w:val="009248B5"/>
    <w:rsid w:val="00934E09"/>
    <w:rsid w:val="00941A56"/>
    <w:rsid w:val="00950DE3"/>
    <w:rsid w:val="00964F0B"/>
    <w:rsid w:val="009667BB"/>
    <w:rsid w:val="00966EA1"/>
    <w:rsid w:val="0097654C"/>
    <w:rsid w:val="0097744B"/>
    <w:rsid w:val="00984544"/>
    <w:rsid w:val="00985D9E"/>
    <w:rsid w:val="009879FA"/>
    <w:rsid w:val="00994B4E"/>
    <w:rsid w:val="009A095B"/>
    <w:rsid w:val="009A4394"/>
    <w:rsid w:val="009B0F40"/>
    <w:rsid w:val="009C1179"/>
    <w:rsid w:val="009C3B85"/>
    <w:rsid w:val="009C5535"/>
    <w:rsid w:val="009D09F4"/>
    <w:rsid w:val="009E0837"/>
    <w:rsid w:val="009E0EE2"/>
    <w:rsid w:val="009E15EE"/>
    <w:rsid w:val="009E34D5"/>
    <w:rsid w:val="009F0B2D"/>
    <w:rsid w:val="009F16D0"/>
    <w:rsid w:val="009F4BD6"/>
    <w:rsid w:val="00A04F24"/>
    <w:rsid w:val="00A12D27"/>
    <w:rsid w:val="00A177BC"/>
    <w:rsid w:val="00A30E3D"/>
    <w:rsid w:val="00A36649"/>
    <w:rsid w:val="00A44F5A"/>
    <w:rsid w:val="00A50780"/>
    <w:rsid w:val="00A569C0"/>
    <w:rsid w:val="00A648DB"/>
    <w:rsid w:val="00A70CC2"/>
    <w:rsid w:val="00A7543B"/>
    <w:rsid w:val="00AA74DD"/>
    <w:rsid w:val="00AD6B6F"/>
    <w:rsid w:val="00AD7B1B"/>
    <w:rsid w:val="00AE4633"/>
    <w:rsid w:val="00AE589A"/>
    <w:rsid w:val="00AE6F7C"/>
    <w:rsid w:val="00AF0D70"/>
    <w:rsid w:val="00AF4592"/>
    <w:rsid w:val="00AF5871"/>
    <w:rsid w:val="00B14489"/>
    <w:rsid w:val="00B15347"/>
    <w:rsid w:val="00B17382"/>
    <w:rsid w:val="00B22A58"/>
    <w:rsid w:val="00B27859"/>
    <w:rsid w:val="00B3383F"/>
    <w:rsid w:val="00B44549"/>
    <w:rsid w:val="00B453B2"/>
    <w:rsid w:val="00B55A5E"/>
    <w:rsid w:val="00B56347"/>
    <w:rsid w:val="00B6782F"/>
    <w:rsid w:val="00B76486"/>
    <w:rsid w:val="00B76491"/>
    <w:rsid w:val="00B82443"/>
    <w:rsid w:val="00B901CC"/>
    <w:rsid w:val="00BA0DCB"/>
    <w:rsid w:val="00BA1D42"/>
    <w:rsid w:val="00BC345A"/>
    <w:rsid w:val="00BC6EE2"/>
    <w:rsid w:val="00BD4CBD"/>
    <w:rsid w:val="00BE7258"/>
    <w:rsid w:val="00BF34D5"/>
    <w:rsid w:val="00BF5D07"/>
    <w:rsid w:val="00BF6EC9"/>
    <w:rsid w:val="00C00E3E"/>
    <w:rsid w:val="00C02E65"/>
    <w:rsid w:val="00C266FC"/>
    <w:rsid w:val="00C327B0"/>
    <w:rsid w:val="00C36BEC"/>
    <w:rsid w:val="00C40416"/>
    <w:rsid w:val="00C46F2D"/>
    <w:rsid w:val="00C52EEC"/>
    <w:rsid w:val="00C62916"/>
    <w:rsid w:val="00C64B22"/>
    <w:rsid w:val="00C73CC4"/>
    <w:rsid w:val="00C8056C"/>
    <w:rsid w:val="00C90211"/>
    <w:rsid w:val="00C93792"/>
    <w:rsid w:val="00CA69F6"/>
    <w:rsid w:val="00CB25BD"/>
    <w:rsid w:val="00CD0D15"/>
    <w:rsid w:val="00CD3F5B"/>
    <w:rsid w:val="00CE38EB"/>
    <w:rsid w:val="00CF65E3"/>
    <w:rsid w:val="00CF7C8C"/>
    <w:rsid w:val="00D0211C"/>
    <w:rsid w:val="00D04E38"/>
    <w:rsid w:val="00D07BF6"/>
    <w:rsid w:val="00D10533"/>
    <w:rsid w:val="00D15A5B"/>
    <w:rsid w:val="00D208C2"/>
    <w:rsid w:val="00D2283F"/>
    <w:rsid w:val="00D25B8D"/>
    <w:rsid w:val="00D35D70"/>
    <w:rsid w:val="00D44F13"/>
    <w:rsid w:val="00D50F71"/>
    <w:rsid w:val="00D53BE7"/>
    <w:rsid w:val="00D53DF4"/>
    <w:rsid w:val="00D56307"/>
    <w:rsid w:val="00D57723"/>
    <w:rsid w:val="00D57792"/>
    <w:rsid w:val="00D62D11"/>
    <w:rsid w:val="00D64B7E"/>
    <w:rsid w:val="00D71C4C"/>
    <w:rsid w:val="00D8690E"/>
    <w:rsid w:val="00DA20FD"/>
    <w:rsid w:val="00DA3342"/>
    <w:rsid w:val="00DA400D"/>
    <w:rsid w:val="00DA44BC"/>
    <w:rsid w:val="00DB2D2E"/>
    <w:rsid w:val="00DB4223"/>
    <w:rsid w:val="00DB5957"/>
    <w:rsid w:val="00DB7719"/>
    <w:rsid w:val="00DD22ED"/>
    <w:rsid w:val="00DD5D7D"/>
    <w:rsid w:val="00DE2DB9"/>
    <w:rsid w:val="00DE4314"/>
    <w:rsid w:val="00DF54E6"/>
    <w:rsid w:val="00DF6365"/>
    <w:rsid w:val="00E131C4"/>
    <w:rsid w:val="00E153E3"/>
    <w:rsid w:val="00E2505C"/>
    <w:rsid w:val="00E50992"/>
    <w:rsid w:val="00E70A12"/>
    <w:rsid w:val="00E71D11"/>
    <w:rsid w:val="00E75EF2"/>
    <w:rsid w:val="00E87FA9"/>
    <w:rsid w:val="00E90AEB"/>
    <w:rsid w:val="00E9382D"/>
    <w:rsid w:val="00E96CA1"/>
    <w:rsid w:val="00EB1E0C"/>
    <w:rsid w:val="00ED194A"/>
    <w:rsid w:val="00ED1C99"/>
    <w:rsid w:val="00ED6832"/>
    <w:rsid w:val="00ED7CD1"/>
    <w:rsid w:val="00EE0DF5"/>
    <w:rsid w:val="00EE27C8"/>
    <w:rsid w:val="00EE2CBB"/>
    <w:rsid w:val="00EE4821"/>
    <w:rsid w:val="00EE48EA"/>
    <w:rsid w:val="00F04C4C"/>
    <w:rsid w:val="00F1278D"/>
    <w:rsid w:val="00F4458D"/>
    <w:rsid w:val="00F44A0A"/>
    <w:rsid w:val="00F45AE9"/>
    <w:rsid w:val="00F5044F"/>
    <w:rsid w:val="00F60199"/>
    <w:rsid w:val="00F671CB"/>
    <w:rsid w:val="00F7388C"/>
    <w:rsid w:val="00F7428F"/>
    <w:rsid w:val="00F87D04"/>
    <w:rsid w:val="00F91AC1"/>
    <w:rsid w:val="00F926DD"/>
    <w:rsid w:val="00FB1892"/>
    <w:rsid w:val="00FC6F5D"/>
    <w:rsid w:val="00FC71AF"/>
    <w:rsid w:val="00FD38B0"/>
    <w:rsid w:val="00FD5E91"/>
    <w:rsid w:val="00FD623A"/>
    <w:rsid w:val="00FF01EB"/>
    <w:rsid w:val="00FF297D"/>
    <w:rsid w:val="00FF66FD"/>
    <w:rsid w:val="180D1A01"/>
    <w:rsid w:val="4DE222D3"/>
    <w:rsid w:val="CF7F3FAF"/>
    <w:rsid w:val="FBBF33F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70" w:lineRule="exact"/>
      <w:ind w:firstLine="200" w:firstLineChars="200"/>
      <w:jc w:val="both"/>
    </w:pPr>
    <w:rPr>
      <w:rFonts w:eastAsia="方正仿宋_GBK" w:asciiTheme="minorHAnsi" w:hAnsiTheme="minorHAnsi" w:cstheme="minorBidi"/>
      <w:kern w:val="2"/>
      <w:sz w:val="32"/>
      <w:szCs w:val="22"/>
      <w:lang w:val="en-US" w:eastAsia="zh-CN" w:bidi="ar-SA"/>
    </w:rPr>
  </w:style>
  <w:style w:type="paragraph" w:styleId="2">
    <w:name w:val="heading 1"/>
    <w:basedOn w:val="1"/>
    <w:next w:val="1"/>
    <w:link w:val="13"/>
    <w:qFormat/>
    <w:uiPriority w:val="9"/>
    <w:pPr>
      <w:keepNext/>
      <w:keepLines/>
      <w:spacing w:before="340" w:after="330" w:line="570" w:lineRule="atLeast"/>
      <w:outlineLvl w:val="0"/>
    </w:pPr>
    <w:rPr>
      <w:rFonts w:eastAsia="方正小标宋_GBK"/>
      <w:bCs/>
      <w:kern w:val="44"/>
      <w:sz w:val="44"/>
      <w:szCs w:val="44"/>
    </w:rPr>
  </w:style>
  <w:style w:type="paragraph" w:styleId="3">
    <w:name w:val="heading 2"/>
    <w:basedOn w:val="1"/>
    <w:next w:val="1"/>
    <w:link w:val="14"/>
    <w:unhideWhenUsed/>
    <w:qFormat/>
    <w:uiPriority w:val="9"/>
    <w:pPr>
      <w:keepNext/>
      <w:keepLines/>
      <w:spacing w:before="260" w:after="260" w:line="416" w:lineRule="atLeast"/>
      <w:outlineLvl w:val="1"/>
    </w:pPr>
    <w:rPr>
      <w:rFonts w:eastAsia="方正楷体_GBK" w:asciiTheme="majorHAnsi" w:hAnsiTheme="majorHAnsi" w:cstheme="majorBidi"/>
      <w:bCs/>
      <w:szCs w:val="32"/>
    </w:rPr>
  </w:style>
  <w:style w:type="paragraph" w:styleId="4">
    <w:name w:val="heading 3"/>
    <w:basedOn w:val="1"/>
    <w:next w:val="1"/>
    <w:link w:val="15"/>
    <w:unhideWhenUsed/>
    <w:qFormat/>
    <w:uiPriority w:val="9"/>
    <w:pPr>
      <w:keepNext/>
      <w:keepLines/>
      <w:outlineLvl w:val="2"/>
    </w:pPr>
    <w:rPr>
      <w:rFonts w:eastAsia="方正黑体_GBK"/>
      <w:bCs/>
      <w:szCs w:val="32"/>
    </w:rPr>
  </w:style>
  <w:style w:type="character" w:default="1" w:styleId="8">
    <w:name w:val="Default Paragraph Font"/>
    <w:unhideWhenUsed/>
    <w:qFormat/>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5">
    <w:name w:val="Balloon Text"/>
    <w:basedOn w:val="1"/>
    <w:link w:val="17"/>
    <w:unhideWhenUsed/>
    <w:qFormat/>
    <w:uiPriority w:val="99"/>
    <w:pPr>
      <w:spacing w:line="240" w:lineRule="auto"/>
    </w:pPr>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Strong"/>
    <w:basedOn w:val="8"/>
    <w:qFormat/>
    <w:uiPriority w:val="22"/>
    <w:rPr>
      <w:b/>
      <w:bCs/>
    </w:rPr>
  </w:style>
  <w:style w:type="character" w:customStyle="1" w:styleId="11">
    <w:name w:val="页眉 Char"/>
    <w:basedOn w:val="8"/>
    <w:link w:val="7"/>
    <w:qFormat/>
    <w:uiPriority w:val="99"/>
    <w:rPr>
      <w:sz w:val="18"/>
      <w:szCs w:val="18"/>
    </w:rPr>
  </w:style>
  <w:style w:type="character" w:customStyle="1" w:styleId="12">
    <w:name w:val="页脚 Char"/>
    <w:basedOn w:val="8"/>
    <w:link w:val="6"/>
    <w:qFormat/>
    <w:uiPriority w:val="99"/>
    <w:rPr>
      <w:sz w:val="18"/>
      <w:szCs w:val="18"/>
    </w:rPr>
  </w:style>
  <w:style w:type="character" w:customStyle="1" w:styleId="13">
    <w:name w:val="标题 1 Char"/>
    <w:basedOn w:val="8"/>
    <w:link w:val="2"/>
    <w:qFormat/>
    <w:uiPriority w:val="9"/>
    <w:rPr>
      <w:rFonts w:eastAsia="方正小标宋_GBK"/>
      <w:bCs/>
      <w:kern w:val="44"/>
      <w:sz w:val="44"/>
      <w:szCs w:val="44"/>
    </w:rPr>
  </w:style>
  <w:style w:type="character" w:customStyle="1" w:styleId="14">
    <w:name w:val="标题 2 Char"/>
    <w:basedOn w:val="8"/>
    <w:link w:val="3"/>
    <w:qFormat/>
    <w:uiPriority w:val="9"/>
    <w:rPr>
      <w:rFonts w:eastAsia="方正楷体_GBK" w:asciiTheme="majorHAnsi" w:hAnsiTheme="majorHAnsi" w:cstheme="majorBidi"/>
      <w:bCs/>
      <w:sz w:val="32"/>
      <w:szCs w:val="32"/>
    </w:rPr>
  </w:style>
  <w:style w:type="character" w:customStyle="1" w:styleId="15">
    <w:name w:val="标题 3 Char"/>
    <w:basedOn w:val="8"/>
    <w:link w:val="4"/>
    <w:qFormat/>
    <w:uiPriority w:val="9"/>
    <w:rPr>
      <w:rFonts w:eastAsia="方正黑体_GBK"/>
      <w:bCs/>
      <w:sz w:val="32"/>
      <w:szCs w:val="32"/>
    </w:rPr>
  </w:style>
  <w:style w:type="paragraph" w:customStyle="1" w:styleId="16">
    <w:name w:val="List Paragraph"/>
    <w:basedOn w:val="1"/>
    <w:qFormat/>
    <w:uiPriority w:val="34"/>
    <w:pPr>
      <w:autoSpaceDE w:val="0"/>
      <w:autoSpaceDN w:val="0"/>
      <w:snapToGrid w:val="0"/>
      <w:ind w:firstLine="640"/>
    </w:pPr>
    <w:rPr>
      <w:rFonts w:ascii="Times New Roman" w:hAnsi="Times New Roman"/>
      <w:snapToGrid w:val="0"/>
      <w:kern w:val="32"/>
      <w:szCs w:val="20"/>
    </w:rPr>
  </w:style>
  <w:style w:type="character" w:customStyle="1" w:styleId="17">
    <w:name w:val="批注框文本 Char"/>
    <w:basedOn w:val="8"/>
    <w:link w:val="5"/>
    <w:semiHidden/>
    <w:qFormat/>
    <w:uiPriority w:val="99"/>
    <w:rPr>
      <w:rFonts w:eastAsia="方正仿宋_GBK"/>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290</Words>
  <Characters>1656</Characters>
  <Lines>13</Lines>
  <Paragraphs>3</Paragraphs>
  <ScaleCrop>false</ScaleCrop>
  <LinksUpToDate>false</LinksUpToDate>
  <CharactersWithSpaces>1943</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2026-02-02T13:49:00Z</dcterms:created>
  <dc:creator>JING</dc:creator>
  <cp:lastModifiedBy>DELL</cp:lastModifiedBy>
  <cp:lastPrinted>2026-02-02T12:46:00Z</cp:lastPrinted>
  <dcterms:modified xsi:type="dcterms:W3CDTF">2026-02-27T01:05:51Z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