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6C6A" w:rsidRPr="00AE0FF6" w:rsidRDefault="00D46C6A" w:rsidP="00AE0FF6">
      <w:pPr>
        <w:overflowPunct w:val="0"/>
        <w:autoSpaceDE w:val="0"/>
        <w:autoSpaceDN w:val="0"/>
        <w:snapToGrid w:val="0"/>
        <w:spacing w:line="700" w:lineRule="exact"/>
        <w:ind w:firstLine="880"/>
        <w:jc w:val="center"/>
        <w:rPr>
          <w:rFonts w:eastAsia="方正小标宋_GBK" w:cs="Times New Roman"/>
          <w:snapToGrid w:val="0"/>
          <w:color w:val="000000"/>
          <w:kern w:val="0"/>
          <w:sz w:val="44"/>
          <w:szCs w:val="44"/>
        </w:rPr>
      </w:pPr>
    </w:p>
    <w:p w:rsidR="00AE0FF6" w:rsidRPr="00AE0FF6" w:rsidRDefault="00AE0FF6" w:rsidP="00AE0FF6">
      <w:pPr>
        <w:pStyle w:val="2"/>
        <w:ind w:left="480"/>
        <w:rPr>
          <w:rFonts w:eastAsia="方正小标宋_GBK" w:hint="default"/>
        </w:rPr>
      </w:pPr>
    </w:p>
    <w:p w:rsidR="00AE0FF6" w:rsidRPr="00AE0FF6" w:rsidRDefault="00AE0FF6" w:rsidP="00AE0FF6">
      <w:pPr>
        <w:pStyle w:val="2"/>
        <w:ind w:left="480"/>
        <w:rPr>
          <w:rFonts w:eastAsia="方正小标宋_GBK" w:hint="default"/>
        </w:rPr>
      </w:pPr>
    </w:p>
    <w:p w:rsidR="00AE0FF6" w:rsidRPr="00AE0FF6" w:rsidRDefault="00AE0FF6" w:rsidP="00AE0FF6">
      <w:pPr>
        <w:pStyle w:val="2"/>
        <w:ind w:left="480"/>
        <w:rPr>
          <w:rFonts w:eastAsia="方正小标宋_GBK" w:hint="default"/>
        </w:rPr>
      </w:pPr>
    </w:p>
    <w:p w:rsidR="00AE0FF6" w:rsidRPr="00AE0FF6" w:rsidRDefault="00AE0FF6" w:rsidP="00AE0FF6">
      <w:pPr>
        <w:pStyle w:val="2"/>
        <w:ind w:left="480"/>
        <w:rPr>
          <w:rFonts w:eastAsia="方正小标宋_GBK" w:hint="default"/>
        </w:rPr>
      </w:pPr>
    </w:p>
    <w:p w:rsidR="008B7133" w:rsidRDefault="00A53694" w:rsidP="00AE0FF6">
      <w:pPr>
        <w:overflowPunct w:val="0"/>
        <w:autoSpaceDE w:val="0"/>
        <w:autoSpaceDN w:val="0"/>
        <w:snapToGrid w:val="0"/>
        <w:spacing w:line="700" w:lineRule="exact"/>
        <w:ind w:firstLineChars="0" w:firstLine="0"/>
        <w:jc w:val="center"/>
        <w:rPr>
          <w:rFonts w:eastAsia="方正小标宋_GBK" w:cs="Times New Roman"/>
          <w:snapToGrid w:val="0"/>
          <w:color w:val="000000"/>
          <w:kern w:val="0"/>
          <w:sz w:val="48"/>
          <w:szCs w:val="48"/>
        </w:rPr>
      </w:pPr>
      <w:r w:rsidRPr="00AE0FF6">
        <w:rPr>
          <w:rFonts w:eastAsia="方正小标宋_GBK" w:cs="Times New Roman"/>
          <w:snapToGrid w:val="0"/>
          <w:color w:val="000000"/>
          <w:kern w:val="0"/>
          <w:sz w:val="48"/>
          <w:szCs w:val="48"/>
        </w:rPr>
        <w:t>江苏省公路水运工程</w:t>
      </w:r>
      <w:r w:rsidR="004B4554" w:rsidRPr="004B4554">
        <w:rPr>
          <w:rFonts w:eastAsia="方正小标宋_GBK" w:cs="Times New Roman" w:hint="eastAsia"/>
          <w:snapToGrid w:val="0"/>
          <w:color w:val="000000"/>
          <w:kern w:val="0"/>
          <w:sz w:val="48"/>
          <w:szCs w:val="48"/>
        </w:rPr>
        <w:t>安全生产</w:t>
      </w:r>
    </w:p>
    <w:p w:rsidR="00D46C6A" w:rsidRPr="00AE0FF6" w:rsidRDefault="004B4554" w:rsidP="00AE0FF6">
      <w:pPr>
        <w:overflowPunct w:val="0"/>
        <w:autoSpaceDE w:val="0"/>
        <w:autoSpaceDN w:val="0"/>
        <w:snapToGrid w:val="0"/>
        <w:spacing w:line="700" w:lineRule="exact"/>
        <w:ind w:firstLineChars="0" w:firstLine="0"/>
        <w:jc w:val="center"/>
        <w:rPr>
          <w:rFonts w:eastAsia="方正小标宋_GBK" w:cs="Times New Roman"/>
          <w:snapToGrid w:val="0"/>
          <w:color w:val="000000"/>
          <w:kern w:val="0"/>
          <w:sz w:val="48"/>
          <w:szCs w:val="48"/>
        </w:rPr>
      </w:pPr>
      <w:bookmarkStart w:id="0" w:name="_GoBack"/>
      <w:bookmarkEnd w:id="0"/>
      <w:r w:rsidRPr="004B4554">
        <w:rPr>
          <w:rFonts w:eastAsia="方正小标宋_GBK" w:cs="Times New Roman" w:hint="eastAsia"/>
          <w:snapToGrid w:val="0"/>
          <w:color w:val="000000"/>
          <w:kern w:val="0"/>
          <w:sz w:val="48"/>
          <w:szCs w:val="48"/>
        </w:rPr>
        <w:t>监督管理</w:t>
      </w:r>
      <w:r w:rsidR="00A53694" w:rsidRPr="00AE0FF6">
        <w:rPr>
          <w:rFonts w:eastAsia="方正小标宋_GBK" w:cs="Times New Roman"/>
          <w:snapToGrid w:val="0"/>
          <w:color w:val="000000"/>
          <w:kern w:val="0"/>
          <w:sz w:val="48"/>
          <w:szCs w:val="48"/>
        </w:rPr>
        <w:t>办法</w:t>
      </w:r>
    </w:p>
    <w:p w:rsidR="00D46C6A" w:rsidRPr="00AE0FF6" w:rsidRDefault="00A53694" w:rsidP="00AE0FF6">
      <w:pPr>
        <w:overflowPunct w:val="0"/>
        <w:autoSpaceDE w:val="0"/>
        <w:autoSpaceDN w:val="0"/>
        <w:snapToGrid w:val="0"/>
        <w:spacing w:line="700" w:lineRule="exact"/>
        <w:ind w:firstLineChars="0" w:firstLine="0"/>
        <w:jc w:val="center"/>
        <w:rPr>
          <w:rFonts w:eastAsia="方正小标宋_GBK" w:cs="Times New Roman"/>
          <w:snapToGrid w:val="0"/>
          <w:color w:val="000000"/>
          <w:kern w:val="0"/>
          <w:sz w:val="44"/>
          <w:szCs w:val="44"/>
        </w:rPr>
      </w:pPr>
      <w:r w:rsidRPr="00AE0FF6">
        <w:rPr>
          <w:rFonts w:eastAsia="方正小标宋_GBK" w:cs="Times New Roman"/>
          <w:snapToGrid w:val="0"/>
          <w:color w:val="000000"/>
          <w:kern w:val="0"/>
          <w:sz w:val="48"/>
          <w:szCs w:val="48"/>
        </w:rPr>
        <w:t>（</w:t>
      </w:r>
      <w:r w:rsidR="005C4C45">
        <w:rPr>
          <w:rFonts w:eastAsia="方正小标宋_GBK" w:cs="Times New Roman" w:hint="eastAsia"/>
          <w:snapToGrid w:val="0"/>
          <w:color w:val="000000"/>
          <w:kern w:val="0"/>
          <w:sz w:val="48"/>
          <w:szCs w:val="48"/>
        </w:rPr>
        <w:t>修订</w:t>
      </w:r>
      <w:r w:rsidR="005A36A5">
        <w:rPr>
          <w:rFonts w:eastAsia="方正小标宋_GBK" w:cs="Times New Roman" w:hint="eastAsia"/>
          <w:snapToGrid w:val="0"/>
          <w:color w:val="000000"/>
          <w:kern w:val="0"/>
          <w:sz w:val="48"/>
          <w:szCs w:val="48"/>
        </w:rPr>
        <w:t>草案</w:t>
      </w:r>
      <w:r w:rsidRPr="00AE0FF6">
        <w:rPr>
          <w:rFonts w:eastAsia="方正小标宋_GBK" w:cs="Times New Roman"/>
          <w:snapToGrid w:val="0"/>
          <w:color w:val="000000"/>
          <w:kern w:val="0"/>
          <w:sz w:val="48"/>
          <w:szCs w:val="48"/>
        </w:rPr>
        <w:t>）</w:t>
      </w:r>
    </w:p>
    <w:p w:rsidR="00D46C6A" w:rsidRPr="00AE0FF6" w:rsidRDefault="00D46C6A" w:rsidP="00AE0FF6">
      <w:pPr>
        <w:overflowPunct w:val="0"/>
        <w:snapToGrid w:val="0"/>
        <w:ind w:firstLine="482"/>
        <w:jc w:val="center"/>
        <w:rPr>
          <w:rFonts w:eastAsia="方正仿宋_GBK" w:cs="Times New Roman"/>
          <w:b/>
          <w:bCs/>
        </w:rPr>
      </w:pPr>
    </w:p>
    <w:p w:rsidR="00D46C6A" w:rsidRPr="00AE0FF6" w:rsidRDefault="00D46C6A" w:rsidP="00AE0FF6">
      <w:pPr>
        <w:overflowPunct w:val="0"/>
        <w:snapToGrid w:val="0"/>
        <w:ind w:firstLine="482"/>
        <w:jc w:val="center"/>
        <w:rPr>
          <w:rFonts w:eastAsia="方正仿宋_GBK" w:cs="Times New Roman"/>
          <w:b/>
          <w:bCs/>
        </w:rPr>
      </w:pPr>
    </w:p>
    <w:p w:rsidR="00D46C6A" w:rsidRPr="00AE0FF6" w:rsidRDefault="00D46C6A" w:rsidP="00AE0FF6">
      <w:pPr>
        <w:overflowPunct w:val="0"/>
        <w:snapToGrid w:val="0"/>
        <w:ind w:firstLine="482"/>
        <w:jc w:val="center"/>
        <w:rPr>
          <w:rFonts w:eastAsia="方正仿宋_GBK" w:cs="Times New Roman"/>
          <w:b/>
          <w:bCs/>
        </w:rPr>
      </w:pPr>
    </w:p>
    <w:p w:rsidR="00D46C6A" w:rsidRPr="00AE0FF6" w:rsidRDefault="00D46C6A" w:rsidP="00AE0FF6">
      <w:pPr>
        <w:overflowPunct w:val="0"/>
        <w:snapToGrid w:val="0"/>
        <w:ind w:firstLine="482"/>
        <w:jc w:val="center"/>
        <w:rPr>
          <w:rFonts w:eastAsia="方正仿宋_GBK" w:cs="Times New Roman"/>
          <w:b/>
          <w:bCs/>
        </w:rPr>
      </w:pPr>
    </w:p>
    <w:p w:rsidR="00D46C6A" w:rsidRPr="00AE0FF6" w:rsidRDefault="00D46C6A" w:rsidP="00AE0FF6">
      <w:pPr>
        <w:overflowPunct w:val="0"/>
        <w:snapToGrid w:val="0"/>
        <w:ind w:firstLine="482"/>
        <w:jc w:val="center"/>
        <w:rPr>
          <w:rFonts w:eastAsia="方正仿宋_GBK" w:cs="Times New Roman"/>
          <w:b/>
          <w:bCs/>
        </w:rPr>
      </w:pPr>
    </w:p>
    <w:p w:rsidR="00D46C6A" w:rsidRPr="00AE0FF6" w:rsidRDefault="00D46C6A" w:rsidP="00AE0FF6">
      <w:pPr>
        <w:overflowPunct w:val="0"/>
        <w:snapToGrid w:val="0"/>
        <w:ind w:firstLine="482"/>
        <w:jc w:val="center"/>
        <w:rPr>
          <w:rFonts w:eastAsia="方正仿宋_GBK" w:cs="Times New Roman"/>
          <w:b/>
          <w:bCs/>
        </w:rPr>
      </w:pPr>
    </w:p>
    <w:p w:rsidR="00D46C6A" w:rsidRPr="00AE0FF6" w:rsidRDefault="00D46C6A" w:rsidP="00AE0FF6">
      <w:pPr>
        <w:overflowPunct w:val="0"/>
        <w:snapToGrid w:val="0"/>
        <w:ind w:firstLine="482"/>
        <w:jc w:val="center"/>
        <w:rPr>
          <w:rFonts w:eastAsia="方正仿宋_GBK" w:cs="Times New Roman"/>
          <w:b/>
          <w:bCs/>
        </w:rPr>
      </w:pPr>
    </w:p>
    <w:p w:rsidR="00D46C6A" w:rsidRPr="00AE0FF6" w:rsidRDefault="00D46C6A" w:rsidP="00AE0FF6">
      <w:pPr>
        <w:overflowPunct w:val="0"/>
        <w:snapToGrid w:val="0"/>
        <w:ind w:firstLine="482"/>
        <w:jc w:val="center"/>
        <w:rPr>
          <w:rFonts w:eastAsia="方正仿宋_GBK" w:cs="Times New Roman"/>
          <w:b/>
          <w:bCs/>
        </w:rPr>
      </w:pPr>
    </w:p>
    <w:p w:rsidR="00D46C6A" w:rsidRPr="00AE0FF6" w:rsidRDefault="00D46C6A" w:rsidP="00AE0FF6">
      <w:pPr>
        <w:overflowPunct w:val="0"/>
        <w:snapToGrid w:val="0"/>
        <w:ind w:firstLine="482"/>
        <w:jc w:val="center"/>
        <w:rPr>
          <w:rFonts w:eastAsia="方正仿宋_GBK" w:cs="Times New Roman"/>
          <w:b/>
          <w:bCs/>
        </w:rPr>
      </w:pPr>
    </w:p>
    <w:p w:rsidR="00D46C6A" w:rsidRPr="00AE0FF6" w:rsidRDefault="00D46C6A" w:rsidP="00AE0FF6">
      <w:pPr>
        <w:overflowPunct w:val="0"/>
        <w:snapToGrid w:val="0"/>
        <w:ind w:firstLine="482"/>
        <w:jc w:val="center"/>
        <w:rPr>
          <w:rFonts w:eastAsia="方正仿宋_GBK" w:cs="Times New Roman"/>
          <w:b/>
          <w:bCs/>
        </w:rPr>
      </w:pPr>
    </w:p>
    <w:p w:rsidR="00D46C6A" w:rsidRPr="00AE0FF6" w:rsidRDefault="00D46C6A" w:rsidP="00AE0FF6">
      <w:pPr>
        <w:overflowPunct w:val="0"/>
        <w:snapToGrid w:val="0"/>
        <w:spacing w:line="700" w:lineRule="exact"/>
        <w:ind w:firstLineChars="0" w:firstLine="0"/>
        <w:jc w:val="center"/>
        <w:rPr>
          <w:rFonts w:eastAsia="方正楷体_GBK" w:cs="Times New Roman"/>
          <w:bCs/>
          <w:sz w:val="32"/>
          <w:szCs w:val="32"/>
        </w:rPr>
      </w:pPr>
    </w:p>
    <w:p w:rsidR="00D46C6A" w:rsidRPr="00AE0FF6" w:rsidRDefault="00A53694" w:rsidP="00AE0FF6">
      <w:pPr>
        <w:spacing w:line="700" w:lineRule="exact"/>
        <w:ind w:firstLineChars="0" w:firstLine="0"/>
        <w:jc w:val="center"/>
        <w:rPr>
          <w:rFonts w:eastAsia="方正小标宋_GBK" w:cs="Times New Roman"/>
          <w:bCs/>
          <w:sz w:val="44"/>
          <w:szCs w:val="44"/>
        </w:rPr>
      </w:pPr>
      <w:r w:rsidRPr="00AE0FF6">
        <w:rPr>
          <w:rFonts w:eastAsia="方正楷体_GBK" w:cs="Times New Roman"/>
          <w:bCs/>
          <w:sz w:val="32"/>
          <w:szCs w:val="32"/>
        </w:rPr>
        <w:t>二</w:t>
      </w:r>
      <w:r w:rsidRPr="00AE0FF6">
        <w:rPr>
          <w:rFonts w:eastAsia="方正楷体_GBK" w:cs="Times New Roman"/>
          <w:bCs/>
          <w:sz w:val="32"/>
          <w:szCs w:val="32"/>
        </w:rPr>
        <w:t>O</w:t>
      </w:r>
      <w:r w:rsidRPr="00AE0FF6">
        <w:rPr>
          <w:rFonts w:eastAsia="方正楷体_GBK" w:cs="Times New Roman"/>
          <w:bCs/>
          <w:sz w:val="32"/>
          <w:szCs w:val="32"/>
        </w:rPr>
        <w:t>二五年九月</w:t>
      </w:r>
    </w:p>
    <w:p w:rsidR="00D46C6A" w:rsidRPr="00AE0FF6" w:rsidRDefault="00D46C6A">
      <w:pPr>
        <w:spacing w:line="640" w:lineRule="exact"/>
        <w:ind w:firstLineChars="0" w:firstLine="0"/>
        <w:jc w:val="center"/>
        <w:rPr>
          <w:rFonts w:eastAsia="方正小标宋_GBK" w:cs="Times New Roman"/>
          <w:bCs/>
          <w:sz w:val="44"/>
          <w:szCs w:val="44"/>
        </w:rPr>
      </w:pPr>
    </w:p>
    <w:p w:rsidR="00D46C6A" w:rsidRPr="00AE0FF6" w:rsidRDefault="00A53694">
      <w:pPr>
        <w:spacing w:line="640" w:lineRule="exact"/>
        <w:ind w:firstLineChars="0" w:firstLine="0"/>
        <w:jc w:val="center"/>
        <w:rPr>
          <w:rFonts w:eastAsia="方正小标宋_GBK" w:cs="Times New Roman"/>
          <w:bCs/>
          <w:sz w:val="44"/>
          <w:szCs w:val="44"/>
        </w:rPr>
      </w:pPr>
      <w:r w:rsidRPr="00AE0FF6">
        <w:rPr>
          <w:rFonts w:eastAsia="方正小标宋_GBK" w:cs="Times New Roman"/>
          <w:bCs/>
          <w:sz w:val="44"/>
          <w:szCs w:val="44"/>
        </w:rPr>
        <w:lastRenderedPageBreak/>
        <w:t>目录</w:t>
      </w:r>
    </w:p>
    <w:p w:rsidR="00AE0FF6" w:rsidRPr="00AE0FF6" w:rsidRDefault="00AE0FF6" w:rsidP="00AE0FF6">
      <w:pPr>
        <w:pStyle w:val="2"/>
        <w:ind w:left="480"/>
        <w:rPr>
          <w:rFonts w:eastAsia="方正小标宋_GBK" w:hint="default"/>
        </w:rPr>
      </w:pPr>
    </w:p>
    <w:p w:rsidR="00D46C6A" w:rsidRPr="00AE0FF6" w:rsidRDefault="004B4554">
      <w:pPr>
        <w:pStyle w:val="10"/>
        <w:tabs>
          <w:tab w:val="right" w:leader="dot" w:pos="8845"/>
        </w:tabs>
        <w:spacing w:line="240" w:lineRule="auto"/>
        <w:ind w:firstLineChars="0" w:firstLine="0"/>
        <w:rPr>
          <w:rFonts w:eastAsia="方正黑体_GBK" w:cs="Times New Roman"/>
          <w:sz w:val="32"/>
          <w:szCs w:val="32"/>
        </w:rPr>
      </w:pPr>
      <w:r w:rsidRPr="00AE0FF6">
        <w:rPr>
          <w:rFonts w:eastAsia="黑体" w:cs="Times New Roman"/>
          <w:bCs/>
          <w:sz w:val="32"/>
          <w:szCs w:val="32"/>
        </w:rPr>
        <w:fldChar w:fldCharType="begin"/>
      </w:r>
      <w:r w:rsidR="00A53694" w:rsidRPr="00AE0FF6">
        <w:rPr>
          <w:rFonts w:eastAsia="黑体" w:cs="Times New Roman"/>
          <w:bCs/>
          <w:sz w:val="32"/>
          <w:szCs w:val="32"/>
        </w:rPr>
        <w:instrText xml:space="preserve">TOC \o "1-1" \h \u </w:instrText>
      </w:r>
      <w:r w:rsidRPr="00AE0FF6">
        <w:rPr>
          <w:rFonts w:eastAsia="黑体" w:cs="Times New Roman"/>
          <w:bCs/>
          <w:sz w:val="32"/>
          <w:szCs w:val="32"/>
        </w:rPr>
        <w:fldChar w:fldCharType="separate"/>
      </w:r>
      <w:hyperlink w:anchor="_Toc17490" w:history="1">
        <w:r w:rsidR="00A53694" w:rsidRPr="00AE0FF6">
          <w:rPr>
            <w:rFonts w:eastAsia="方正黑体_GBK" w:cs="Times New Roman"/>
            <w:sz w:val="32"/>
            <w:szCs w:val="32"/>
          </w:rPr>
          <w:t>第一章总则</w:t>
        </w:r>
        <w:r w:rsidR="00A53694" w:rsidRPr="00AE0FF6">
          <w:rPr>
            <w:rFonts w:eastAsia="方正黑体_GBK" w:cs="Times New Roman"/>
            <w:sz w:val="32"/>
            <w:szCs w:val="32"/>
          </w:rPr>
          <w:tab/>
        </w:r>
        <w:r w:rsidRPr="00AE0FF6">
          <w:rPr>
            <w:rFonts w:eastAsia="方正黑体_GBK" w:cs="Times New Roman"/>
            <w:sz w:val="32"/>
            <w:szCs w:val="32"/>
          </w:rPr>
          <w:fldChar w:fldCharType="begin"/>
        </w:r>
        <w:r w:rsidR="00A53694" w:rsidRPr="00AE0FF6">
          <w:rPr>
            <w:rFonts w:eastAsia="方正黑体_GBK" w:cs="Times New Roman"/>
            <w:sz w:val="32"/>
            <w:szCs w:val="32"/>
          </w:rPr>
          <w:instrText xml:space="preserve"> PAGEREF _Toc17490 \h </w:instrText>
        </w:r>
        <w:r w:rsidRPr="00AE0FF6">
          <w:rPr>
            <w:rFonts w:eastAsia="方正黑体_GBK" w:cs="Times New Roman"/>
            <w:sz w:val="32"/>
            <w:szCs w:val="32"/>
          </w:rPr>
        </w:r>
        <w:r w:rsidRPr="00AE0FF6">
          <w:rPr>
            <w:rFonts w:eastAsia="方正黑体_GBK" w:cs="Times New Roman"/>
            <w:sz w:val="32"/>
            <w:szCs w:val="32"/>
          </w:rPr>
          <w:fldChar w:fldCharType="separate"/>
        </w:r>
        <w:r w:rsidR="00A53694" w:rsidRPr="00AE0FF6">
          <w:rPr>
            <w:rFonts w:eastAsia="方正黑体_GBK" w:cs="Times New Roman"/>
            <w:sz w:val="32"/>
            <w:szCs w:val="32"/>
          </w:rPr>
          <w:t>1</w:t>
        </w:r>
        <w:r w:rsidRPr="00AE0FF6">
          <w:rPr>
            <w:rFonts w:eastAsia="方正黑体_GBK" w:cs="Times New Roman"/>
            <w:sz w:val="32"/>
            <w:szCs w:val="32"/>
          </w:rPr>
          <w:fldChar w:fldCharType="end"/>
        </w:r>
      </w:hyperlink>
    </w:p>
    <w:p w:rsidR="00D46C6A" w:rsidRPr="00AE0FF6" w:rsidRDefault="004B4554">
      <w:pPr>
        <w:pStyle w:val="10"/>
        <w:tabs>
          <w:tab w:val="right" w:leader="dot" w:pos="8845"/>
        </w:tabs>
        <w:spacing w:line="240" w:lineRule="auto"/>
        <w:ind w:firstLineChars="0" w:firstLine="0"/>
        <w:rPr>
          <w:rFonts w:eastAsia="方正黑体_GBK" w:cs="Times New Roman"/>
          <w:sz w:val="32"/>
          <w:szCs w:val="32"/>
        </w:rPr>
      </w:pPr>
      <w:hyperlink w:anchor="_Toc16446" w:history="1">
        <w:r w:rsidR="00A53694" w:rsidRPr="00AE0FF6">
          <w:rPr>
            <w:rFonts w:eastAsia="方正黑体_GBK" w:cs="Times New Roman"/>
            <w:sz w:val="32"/>
            <w:szCs w:val="32"/>
          </w:rPr>
          <w:t>第二章安全生产监督管理</w:t>
        </w:r>
        <w:r w:rsidR="00A53694" w:rsidRPr="00AE0FF6">
          <w:rPr>
            <w:rFonts w:eastAsia="方正黑体_GBK" w:cs="Times New Roman"/>
            <w:sz w:val="32"/>
            <w:szCs w:val="32"/>
          </w:rPr>
          <w:tab/>
        </w:r>
        <w:r w:rsidRPr="00AE0FF6">
          <w:rPr>
            <w:rFonts w:eastAsia="方正黑体_GBK" w:cs="Times New Roman"/>
            <w:sz w:val="32"/>
            <w:szCs w:val="32"/>
          </w:rPr>
          <w:fldChar w:fldCharType="begin"/>
        </w:r>
        <w:r w:rsidR="00A53694" w:rsidRPr="00AE0FF6">
          <w:rPr>
            <w:rFonts w:eastAsia="方正黑体_GBK" w:cs="Times New Roman"/>
            <w:sz w:val="32"/>
            <w:szCs w:val="32"/>
          </w:rPr>
          <w:instrText xml:space="preserve"> PAGEREF _Toc16446 \h </w:instrText>
        </w:r>
        <w:r w:rsidRPr="00AE0FF6">
          <w:rPr>
            <w:rFonts w:eastAsia="方正黑体_GBK" w:cs="Times New Roman"/>
            <w:sz w:val="32"/>
            <w:szCs w:val="32"/>
          </w:rPr>
        </w:r>
        <w:r w:rsidRPr="00AE0FF6">
          <w:rPr>
            <w:rFonts w:eastAsia="方正黑体_GBK" w:cs="Times New Roman"/>
            <w:sz w:val="32"/>
            <w:szCs w:val="32"/>
          </w:rPr>
          <w:fldChar w:fldCharType="separate"/>
        </w:r>
        <w:r w:rsidR="00A53694" w:rsidRPr="00AE0FF6">
          <w:rPr>
            <w:rFonts w:eastAsia="方正黑体_GBK" w:cs="Times New Roman"/>
            <w:sz w:val="32"/>
            <w:szCs w:val="32"/>
          </w:rPr>
          <w:t>3</w:t>
        </w:r>
        <w:r w:rsidRPr="00AE0FF6">
          <w:rPr>
            <w:rFonts w:eastAsia="方正黑体_GBK" w:cs="Times New Roman"/>
            <w:sz w:val="32"/>
            <w:szCs w:val="32"/>
          </w:rPr>
          <w:fldChar w:fldCharType="end"/>
        </w:r>
      </w:hyperlink>
    </w:p>
    <w:p w:rsidR="00D46C6A" w:rsidRPr="00AE0FF6" w:rsidRDefault="004B4554">
      <w:pPr>
        <w:pStyle w:val="10"/>
        <w:tabs>
          <w:tab w:val="right" w:leader="dot" w:pos="8845"/>
        </w:tabs>
        <w:spacing w:line="240" w:lineRule="auto"/>
        <w:ind w:firstLineChars="0" w:firstLine="0"/>
        <w:rPr>
          <w:rFonts w:eastAsia="方正黑体_GBK" w:cs="Times New Roman"/>
          <w:sz w:val="32"/>
          <w:szCs w:val="32"/>
        </w:rPr>
      </w:pPr>
      <w:hyperlink w:anchor="_Toc4949" w:history="1">
        <w:r w:rsidR="00A53694" w:rsidRPr="00AE0FF6">
          <w:rPr>
            <w:rFonts w:eastAsia="方正黑体_GBK" w:cs="Times New Roman"/>
            <w:sz w:val="32"/>
            <w:szCs w:val="32"/>
          </w:rPr>
          <w:t>第三章安全生产备案核查</w:t>
        </w:r>
        <w:r w:rsidR="00A53694" w:rsidRPr="00AE0FF6">
          <w:rPr>
            <w:rFonts w:eastAsia="方正黑体_GBK" w:cs="Times New Roman"/>
            <w:sz w:val="32"/>
            <w:szCs w:val="32"/>
          </w:rPr>
          <w:tab/>
        </w:r>
        <w:r w:rsidRPr="00AE0FF6">
          <w:rPr>
            <w:rFonts w:eastAsia="方正黑体_GBK" w:cs="Times New Roman"/>
            <w:sz w:val="32"/>
            <w:szCs w:val="32"/>
          </w:rPr>
          <w:fldChar w:fldCharType="begin"/>
        </w:r>
        <w:r w:rsidR="00A53694" w:rsidRPr="00AE0FF6">
          <w:rPr>
            <w:rFonts w:eastAsia="方正黑体_GBK" w:cs="Times New Roman"/>
            <w:sz w:val="32"/>
            <w:szCs w:val="32"/>
          </w:rPr>
          <w:instrText xml:space="preserve"> PAGEREF _Toc4949 \h </w:instrText>
        </w:r>
        <w:r w:rsidRPr="00AE0FF6">
          <w:rPr>
            <w:rFonts w:eastAsia="方正黑体_GBK" w:cs="Times New Roman"/>
            <w:sz w:val="32"/>
            <w:szCs w:val="32"/>
          </w:rPr>
        </w:r>
        <w:r w:rsidRPr="00AE0FF6">
          <w:rPr>
            <w:rFonts w:eastAsia="方正黑体_GBK" w:cs="Times New Roman"/>
            <w:sz w:val="32"/>
            <w:szCs w:val="32"/>
          </w:rPr>
          <w:fldChar w:fldCharType="separate"/>
        </w:r>
        <w:r w:rsidR="00A53694" w:rsidRPr="00AE0FF6">
          <w:rPr>
            <w:rFonts w:eastAsia="方正黑体_GBK" w:cs="Times New Roman"/>
            <w:sz w:val="32"/>
            <w:szCs w:val="32"/>
          </w:rPr>
          <w:t>6</w:t>
        </w:r>
        <w:r w:rsidRPr="00AE0FF6">
          <w:rPr>
            <w:rFonts w:eastAsia="方正黑体_GBK" w:cs="Times New Roman"/>
            <w:sz w:val="32"/>
            <w:szCs w:val="32"/>
          </w:rPr>
          <w:fldChar w:fldCharType="end"/>
        </w:r>
      </w:hyperlink>
    </w:p>
    <w:p w:rsidR="00D46C6A" w:rsidRPr="00AE0FF6" w:rsidRDefault="004B4554">
      <w:pPr>
        <w:pStyle w:val="10"/>
        <w:tabs>
          <w:tab w:val="right" w:leader="dot" w:pos="8845"/>
        </w:tabs>
        <w:spacing w:line="240" w:lineRule="auto"/>
        <w:ind w:firstLineChars="0" w:firstLine="0"/>
        <w:rPr>
          <w:rFonts w:eastAsia="方正黑体_GBK" w:cs="Times New Roman"/>
          <w:sz w:val="32"/>
          <w:szCs w:val="32"/>
        </w:rPr>
      </w:pPr>
      <w:hyperlink w:anchor="_Toc15665" w:history="1">
        <w:r w:rsidR="00A53694" w:rsidRPr="00AE0FF6">
          <w:rPr>
            <w:rFonts w:eastAsia="方正黑体_GBK" w:cs="Times New Roman"/>
            <w:sz w:val="32"/>
            <w:szCs w:val="32"/>
          </w:rPr>
          <w:t>第四章安全生产监督检查</w:t>
        </w:r>
        <w:r w:rsidR="00A53694" w:rsidRPr="00AE0FF6">
          <w:rPr>
            <w:rFonts w:eastAsia="方正黑体_GBK" w:cs="Times New Roman"/>
            <w:sz w:val="32"/>
            <w:szCs w:val="32"/>
          </w:rPr>
          <w:tab/>
        </w:r>
        <w:r w:rsidRPr="00AE0FF6">
          <w:rPr>
            <w:rFonts w:eastAsia="方正黑体_GBK" w:cs="Times New Roman"/>
            <w:sz w:val="32"/>
            <w:szCs w:val="32"/>
          </w:rPr>
          <w:fldChar w:fldCharType="begin"/>
        </w:r>
        <w:r w:rsidR="00A53694" w:rsidRPr="00AE0FF6">
          <w:rPr>
            <w:rFonts w:eastAsia="方正黑体_GBK" w:cs="Times New Roman"/>
            <w:sz w:val="32"/>
            <w:szCs w:val="32"/>
          </w:rPr>
          <w:instrText xml:space="preserve"> PAGEREF _Toc15665 \h </w:instrText>
        </w:r>
        <w:r w:rsidRPr="00AE0FF6">
          <w:rPr>
            <w:rFonts w:eastAsia="方正黑体_GBK" w:cs="Times New Roman"/>
            <w:sz w:val="32"/>
            <w:szCs w:val="32"/>
          </w:rPr>
        </w:r>
        <w:r w:rsidRPr="00AE0FF6">
          <w:rPr>
            <w:rFonts w:eastAsia="方正黑体_GBK" w:cs="Times New Roman"/>
            <w:sz w:val="32"/>
            <w:szCs w:val="32"/>
          </w:rPr>
          <w:fldChar w:fldCharType="separate"/>
        </w:r>
        <w:r w:rsidR="00A53694" w:rsidRPr="00AE0FF6">
          <w:rPr>
            <w:rFonts w:eastAsia="方正黑体_GBK" w:cs="Times New Roman"/>
            <w:sz w:val="32"/>
            <w:szCs w:val="32"/>
          </w:rPr>
          <w:t>7</w:t>
        </w:r>
        <w:r w:rsidRPr="00AE0FF6">
          <w:rPr>
            <w:rFonts w:eastAsia="方正黑体_GBK" w:cs="Times New Roman"/>
            <w:sz w:val="32"/>
            <w:szCs w:val="32"/>
          </w:rPr>
          <w:fldChar w:fldCharType="end"/>
        </w:r>
      </w:hyperlink>
    </w:p>
    <w:p w:rsidR="00D46C6A" w:rsidRPr="00AE0FF6" w:rsidRDefault="004B4554">
      <w:pPr>
        <w:pStyle w:val="10"/>
        <w:tabs>
          <w:tab w:val="right" w:leader="dot" w:pos="8845"/>
        </w:tabs>
        <w:spacing w:line="240" w:lineRule="auto"/>
        <w:ind w:firstLineChars="0" w:firstLine="0"/>
        <w:rPr>
          <w:rFonts w:eastAsia="黑体" w:cs="Times New Roman"/>
          <w:sz w:val="32"/>
          <w:szCs w:val="32"/>
        </w:rPr>
      </w:pPr>
      <w:hyperlink w:anchor="_Toc12071" w:history="1">
        <w:r w:rsidR="00A53694" w:rsidRPr="00AE0FF6">
          <w:rPr>
            <w:rFonts w:eastAsia="方正黑体_GBK" w:cs="Times New Roman"/>
            <w:sz w:val="32"/>
            <w:szCs w:val="32"/>
          </w:rPr>
          <w:t>第五章附则</w:t>
        </w:r>
        <w:r w:rsidR="00A53694" w:rsidRPr="00AE0FF6">
          <w:rPr>
            <w:rFonts w:eastAsia="方正黑体_GBK" w:cs="Times New Roman"/>
            <w:sz w:val="32"/>
            <w:szCs w:val="32"/>
          </w:rPr>
          <w:tab/>
        </w:r>
        <w:r w:rsidRPr="00AE0FF6">
          <w:rPr>
            <w:rFonts w:eastAsia="方正黑体_GBK" w:cs="Times New Roman"/>
            <w:sz w:val="32"/>
            <w:szCs w:val="32"/>
          </w:rPr>
          <w:fldChar w:fldCharType="begin"/>
        </w:r>
        <w:r w:rsidR="00A53694" w:rsidRPr="00AE0FF6">
          <w:rPr>
            <w:rFonts w:eastAsia="方正黑体_GBK" w:cs="Times New Roman"/>
            <w:sz w:val="32"/>
            <w:szCs w:val="32"/>
          </w:rPr>
          <w:instrText xml:space="preserve"> PAGEREF _Toc12071 \h </w:instrText>
        </w:r>
        <w:r w:rsidRPr="00AE0FF6">
          <w:rPr>
            <w:rFonts w:eastAsia="方正黑体_GBK" w:cs="Times New Roman"/>
            <w:sz w:val="32"/>
            <w:szCs w:val="32"/>
          </w:rPr>
        </w:r>
        <w:r w:rsidRPr="00AE0FF6">
          <w:rPr>
            <w:rFonts w:eastAsia="方正黑体_GBK" w:cs="Times New Roman"/>
            <w:sz w:val="32"/>
            <w:szCs w:val="32"/>
          </w:rPr>
          <w:fldChar w:fldCharType="separate"/>
        </w:r>
        <w:r w:rsidR="00A53694" w:rsidRPr="00AE0FF6">
          <w:rPr>
            <w:rFonts w:eastAsia="方正黑体_GBK" w:cs="Times New Roman"/>
            <w:sz w:val="32"/>
            <w:szCs w:val="32"/>
          </w:rPr>
          <w:t>10</w:t>
        </w:r>
        <w:r w:rsidRPr="00AE0FF6">
          <w:rPr>
            <w:rFonts w:eastAsia="方正黑体_GBK" w:cs="Times New Roman"/>
            <w:sz w:val="32"/>
            <w:szCs w:val="32"/>
          </w:rPr>
          <w:fldChar w:fldCharType="end"/>
        </w:r>
      </w:hyperlink>
    </w:p>
    <w:p w:rsidR="00D46C6A" w:rsidRPr="00AE0FF6" w:rsidRDefault="004B4554">
      <w:pPr>
        <w:spacing w:line="240" w:lineRule="auto"/>
        <w:ind w:firstLineChars="0" w:firstLine="0"/>
        <w:jc w:val="center"/>
        <w:rPr>
          <w:rFonts w:eastAsia="方正小标宋_GBK" w:cs="Times New Roman"/>
          <w:bCs/>
          <w:sz w:val="44"/>
          <w:szCs w:val="44"/>
        </w:rPr>
      </w:pPr>
      <w:r w:rsidRPr="00AE0FF6">
        <w:rPr>
          <w:rFonts w:eastAsia="黑体" w:cs="Times New Roman"/>
          <w:bCs/>
          <w:sz w:val="32"/>
          <w:szCs w:val="32"/>
        </w:rPr>
        <w:fldChar w:fldCharType="end"/>
      </w:r>
    </w:p>
    <w:p w:rsidR="00D46C6A" w:rsidRPr="00AE0FF6" w:rsidRDefault="00D46C6A">
      <w:pPr>
        <w:spacing w:line="640" w:lineRule="exact"/>
        <w:ind w:firstLineChars="0" w:firstLine="0"/>
        <w:jc w:val="center"/>
        <w:rPr>
          <w:rFonts w:eastAsia="方正小标宋_GBK" w:cs="Times New Roman"/>
          <w:bCs/>
          <w:sz w:val="44"/>
          <w:szCs w:val="44"/>
        </w:rPr>
      </w:pPr>
    </w:p>
    <w:p w:rsidR="00D46C6A" w:rsidRPr="00AE0FF6" w:rsidRDefault="00D46C6A">
      <w:pPr>
        <w:spacing w:line="640" w:lineRule="exact"/>
        <w:ind w:firstLineChars="0" w:firstLine="0"/>
        <w:jc w:val="center"/>
        <w:rPr>
          <w:rFonts w:eastAsia="方正小标宋_GBK" w:cs="Times New Roman"/>
          <w:bCs/>
          <w:sz w:val="44"/>
          <w:szCs w:val="44"/>
        </w:rPr>
      </w:pPr>
    </w:p>
    <w:p w:rsidR="00D46C6A" w:rsidRPr="00AE0FF6" w:rsidRDefault="00D46C6A">
      <w:pPr>
        <w:spacing w:line="640" w:lineRule="exact"/>
        <w:ind w:firstLineChars="0" w:firstLine="0"/>
        <w:jc w:val="center"/>
        <w:rPr>
          <w:rFonts w:eastAsia="方正小标宋_GBK" w:cs="Times New Roman"/>
          <w:bCs/>
          <w:sz w:val="44"/>
          <w:szCs w:val="44"/>
        </w:rPr>
      </w:pPr>
    </w:p>
    <w:p w:rsidR="00D46C6A" w:rsidRPr="00AE0FF6" w:rsidRDefault="00D46C6A">
      <w:pPr>
        <w:spacing w:line="640" w:lineRule="exact"/>
        <w:ind w:firstLineChars="0" w:firstLine="0"/>
        <w:jc w:val="center"/>
        <w:rPr>
          <w:rFonts w:eastAsia="方正小标宋_GBK" w:cs="Times New Roman"/>
          <w:bCs/>
          <w:sz w:val="44"/>
          <w:szCs w:val="44"/>
        </w:rPr>
        <w:sectPr w:rsidR="00D46C6A" w:rsidRPr="00AE0FF6" w:rsidSect="00AE0FF6">
          <w:headerReference w:type="even" r:id="rId7"/>
          <w:headerReference w:type="default" r:id="rId8"/>
          <w:footerReference w:type="even" r:id="rId9"/>
          <w:footerReference w:type="default" r:id="rId10"/>
          <w:headerReference w:type="first" r:id="rId11"/>
          <w:footerReference w:type="first" r:id="rId12"/>
          <w:pgSz w:w="11906" w:h="16838"/>
          <w:pgMar w:top="2098" w:right="1474" w:bottom="1985" w:left="1588" w:header="851" w:footer="992" w:gutter="0"/>
          <w:cols w:space="425"/>
          <w:docGrid w:type="lines" w:linePitch="326"/>
        </w:sectPr>
      </w:pPr>
    </w:p>
    <w:p w:rsidR="00AE0FF6" w:rsidRPr="00AE0FF6" w:rsidRDefault="00AE0FF6" w:rsidP="00AE0FF6">
      <w:pPr>
        <w:spacing w:line="640" w:lineRule="exact"/>
        <w:ind w:firstLineChars="0" w:firstLine="0"/>
        <w:jc w:val="center"/>
        <w:rPr>
          <w:rFonts w:eastAsia="方正小标宋_GBK" w:cs="Times New Roman"/>
          <w:bCs/>
          <w:sz w:val="44"/>
          <w:szCs w:val="44"/>
        </w:rPr>
      </w:pPr>
    </w:p>
    <w:p w:rsidR="00D46C6A" w:rsidRPr="00AE0FF6" w:rsidRDefault="00A53694" w:rsidP="00AE0FF6">
      <w:pPr>
        <w:spacing w:line="640" w:lineRule="exact"/>
        <w:ind w:firstLineChars="0" w:firstLine="0"/>
        <w:jc w:val="center"/>
        <w:rPr>
          <w:rFonts w:eastAsia="方正小标宋_GBK" w:cs="Times New Roman"/>
          <w:bCs/>
          <w:sz w:val="44"/>
          <w:szCs w:val="44"/>
        </w:rPr>
      </w:pPr>
      <w:bookmarkStart w:id="1" w:name="OLE_LINK5"/>
      <w:bookmarkStart w:id="2" w:name="OLE_LINK6"/>
      <w:r w:rsidRPr="00AE0FF6">
        <w:rPr>
          <w:rFonts w:eastAsia="方正小标宋_GBK" w:cs="Times New Roman"/>
          <w:bCs/>
          <w:sz w:val="44"/>
          <w:szCs w:val="44"/>
        </w:rPr>
        <w:t>江苏省公路水运工程安全生产监督管理办法</w:t>
      </w:r>
      <w:bookmarkEnd w:id="1"/>
      <w:bookmarkEnd w:id="2"/>
    </w:p>
    <w:p w:rsidR="00D46C6A" w:rsidRPr="00AE0FF6" w:rsidRDefault="00A53694" w:rsidP="00AE0FF6">
      <w:pPr>
        <w:spacing w:line="640" w:lineRule="exact"/>
        <w:ind w:firstLineChars="0" w:firstLine="0"/>
        <w:jc w:val="center"/>
        <w:rPr>
          <w:rFonts w:eastAsia="方正楷体_GBK" w:cs="Times New Roman"/>
          <w:sz w:val="32"/>
          <w:szCs w:val="32"/>
        </w:rPr>
      </w:pPr>
      <w:r w:rsidRPr="00AE0FF6">
        <w:rPr>
          <w:rFonts w:eastAsia="方正楷体_GBK" w:cs="Times New Roman"/>
          <w:sz w:val="32"/>
          <w:szCs w:val="32"/>
        </w:rPr>
        <w:t>（</w:t>
      </w:r>
      <w:r w:rsidR="00F93492">
        <w:rPr>
          <w:rFonts w:eastAsia="方正楷体_GBK" w:cs="Times New Roman" w:hint="eastAsia"/>
          <w:sz w:val="32"/>
          <w:szCs w:val="32"/>
        </w:rPr>
        <w:t>修订草案</w:t>
      </w:r>
      <w:r w:rsidRPr="00AE0FF6">
        <w:rPr>
          <w:rFonts w:eastAsia="方正楷体_GBK" w:cs="Times New Roman"/>
          <w:sz w:val="32"/>
          <w:szCs w:val="32"/>
        </w:rPr>
        <w:t>）</w:t>
      </w:r>
    </w:p>
    <w:p w:rsidR="00AE0FF6" w:rsidRPr="00AE0FF6" w:rsidRDefault="00AE0FF6" w:rsidP="00AE0FF6">
      <w:pPr>
        <w:ind w:left="480" w:firstLineChars="0" w:firstLine="0"/>
        <w:rPr>
          <w:rFonts w:cs="Times New Roman"/>
        </w:rPr>
      </w:pPr>
      <w:bookmarkStart w:id="3" w:name="_Toc4693"/>
      <w:bookmarkStart w:id="4" w:name="_Toc17490"/>
    </w:p>
    <w:p w:rsidR="00D46C6A" w:rsidRPr="00AE0FF6" w:rsidRDefault="00A53694" w:rsidP="00AE0FF6">
      <w:pPr>
        <w:spacing w:line="590" w:lineRule="exact"/>
        <w:ind w:firstLineChars="0" w:firstLine="0"/>
        <w:jc w:val="center"/>
        <w:rPr>
          <w:rFonts w:eastAsia="方正黑体_GBK" w:cs="Times New Roman"/>
          <w:sz w:val="32"/>
          <w:szCs w:val="32"/>
        </w:rPr>
      </w:pPr>
      <w:r w:rsidRPr="00AE0FF6">
        <w:rPr>
          <w:rFonts w:eastAsia="方正黑体_GBK" w:cs="Times New Roman"/>
          <w:sz w:val="32"/>
          <w:szCs w:val="32"/>
        </w:rPr>
        <w:t>第一章总则</w:t>
      </w:r>
      <w:bookmarkEnd w:id="3"/>
      <w:bookmarkEnd w:id="4"/>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t>第一条【目的依据】</w:t>
      </w:r>
      <w:bookmarkStart w:id="5" w:name="OLE_LINK3"/>
      <w:bookmarkStart w:id="6" w:name="OLE_LINK4"/>
      <w:bookmarkStart w:id="7" w:name="OLE_LINK1"/>
      <w:bookmarkStart w:id="8" w:name="OLE_LINK2"/>
      <w:r w:rsidRPr="00AE0FF6">
        <w:rPr>
          <w:rFonts w:eastAsia="方正仿宋_GBK" w:cs="Times New Roman"/>
          <w:sz w:val="32"/>
          <w:szCs w:val="32"/>
        </w:rPr>
        <w:t>为了加强公路水运工程安全生产监督管理，防范化解重大安全生产风险，有效防止和减少生产安全事故，保障人民群众生命和财产安全，根据《中华人民共和国安全生产法》《建设工程安全生产管理条例》《江苏省交通建设工程质量和安全生产监督管理条例》《公路水运工程安全生产监督管理办法》等，</w:t>
      </w:r>
      <w:bookmarkEnd w:id="5"/>
      <w:bookmarkEnd w:id="6"/>
      <w:r w:rsidRPr="00AE0FF6">
        <w:rPr>
          <w:rFonts w:eastAsia="方正仿宋_GBK" w:cs="Times New Roman"/>
          <w:sz w:val="32"/>
          <w:szCs w:val="32"/>
        </w:rPr>
        <w:t>结合本省实际，</w:t>
      </w:r>
      <w:bookmarkEnd w:id="7"/>
      <w:bookmarkEnd w:id="8"/>
      <w:r w:rsidRPr="00AE0FF6">
        <w:rPr>
          <w:rFonts w:eastAsia="方正仿宋_GBK" w:cs="Times New Roman"/>
          <w:sz w:val="32"/>
          <w:szCs w:val="32"/>
        </w:rPr>
        <w:t>制定本办法。</w:t>
      </w:r>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t>第二条【适用范围】</w:t>
      </w:r>
      <w:r w:rsidRPr="00AE0FF6">
        <w:rPr>
          <w:rFonts w:eastAsia="方正仿宋_GBK" w:cs="Times New Roman"/>
          <w:sz w:val="32"/>
          <w:szCs w:val="32"/>
        </w:rPr>
        <w:t>本省行政区域内经依法审批、核准或者备案的公路、水运基础设施的新建、改建、扩建等建设项目（以下称公路水运工程）的工程安全生产监督管理，适用本办法。</w:t>
      </w:r>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t>第三条【监督主体】</w:t>
      </w:r>
      <w:r w:rsidRPr="00AE0FF6">
        <w:rPr>
          <w:rFonts w:eastAsia="方正仿宋_GBK" w:cs="Times New Roman"/>
          <w:sz w:val="32"/>
          <w:szCs w:val="32"/>
        </w:rPr>
        <w:t>县级以上地方人民政府交通运输主管部门按照职责权限，主管本行政区域内公路水运工程安全生产监督管理工作。交通运输主管部门所属的交通建设工程监督机构（以下称工程监督机构）在职责范围内，承担公路水运工程安全生产的具体监督管理工作。</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公路水运工程的质量和安全生产监督管理工作，应当由同一工程监督机构实施。</w:t>
      </w:r>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lastRenderedPageBreak/>
        <w:t>第四条【监管职责】</w:t>
      </w:r>
      <w:r w:rsidRPr="00AE0FF6">
        <w:rPr>
          <w:rFonts w:eastAsia="方正仿宋_GBK" w:cs="Times New Roman"/>
          <w:sz w:val="32"/>
          <w:szCs w:val="32"/>
        </w:rPr>
        <w:t>国家和省有关部门审批、核准或者备案，并列入省交通建设投资计划的下列公路水运建设工程，其安全生产监督管理由省工程监督机构根据职责负责：</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（一）省本级直接实施建设管理的高速公路、跨越长江的公路桥梁（隧道）；</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（二）跨设区的市的三级以上内河航道工程（含船闸、航道、桥梁等）；</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（三）国家发展改革或者交通运输部门审批初步设计文件的沿江沿海港口项目，国家或者省公共财政资金投入的防波堤、港口公用航道等沿海港口公用基础设施项目。</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前款规定以外的公路水运工程的安全生产监督管理，由工程所在地设区的市、县（市、区）工程监督机构根据职责负责。</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上级工程监督机构应当对下级工程监督机构安全生产监督管理职责履行情况进行指导和监督。</w:t>
      </w:r>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t>第五条【从业单位】</w:t>
      </w:r>
      <w:r w:rsidRPr="00AE0FF6">
        <w:rPr>
          <w:rFonts w:eastAsia="方正仿宋_GBK" w:cs="Times New Roman"/>
          <w:sz w:val="32"/>
          <w:szCs w:val="32"/>
        </w:rPr>
        <w:t>从事公路水运工程建设、勘察、设计、施工、监理、试验检测、安全服务等工作的单位（以下统称从业单位）应当建立健全安全生产管理制度，落实全员安全生产责任制，具备法律、法规、规章和工程建设强制性标准规定的安全生产条件。任何单位和个人不得降低安全生产条件。</w:t>
      </w:r>
    </w:p>
    <w:p w:rsidR="00D46C6A" w:rsidRPr="00AE0FF6" w:rsidRDefault="00A53694" w:rsidP="00AE0FF6">
      <w:pPr>
        <w:spacing w:line="590" w:lineRule="exact"/>
        <w:ind w:firstLine="640"/>
        <w:outlineLvl w:val="1"/>
        <w:rPr>
          <w:rFonts w:eastAsia="方正仿宋_GBK" w:cs="Times New Roman"/>
          <w:b/>
          <w:bCs/>
          <w:sz w:val="32"/>
          <w:szCs w:val="32"/>
        </w:rPr>
      </w:pPr>
      <w:r w:rsidRPr="00AE0FF6">
        <w:rPr>
          <w:rFonts w:eastAsia="方正黑体_GBK" w:cs="Times New Roman"/>
          <w:sz w:val="32"/>
          <w:szCs w:val="32"/>
        </w:rPr>
        <w:t>第六条【从业人员】</w:t>
      </w:r>
      <w:r w:rsidRPr="00AE0FF6">
        <w:rPr>
          <w:rFonts w:eastAsia="方正仿宋_GBK" w:cs="Times New Roman"/>
          <w:sz w:val="32"/>
          <w:szCs w:val="32"/>
        </w:rPr>
        <w:t>公路水运工程从业人员包括从业单位的从业人员以及分包、劳务合作、材料供应、设备租赁等相关单位</w:t>
      </w:r>
      <w:r w:rsidRPr="00AE0FF6">
        <w:rPr>
          <w:rFonts w:eastAsia="方正仿宋_GBK" w:cs="Times New Roman"/>
          <w:sz w:val="32"/>
          <w:szCs w:val="32"/>
        </w:rPr>
        <w:lastRenderedPageBreak/>
        <w:t>和临时聘用、实习、劳务派遣等实际参与施工活动的所有人员。从业单位及从业人员应当遵守工程建设安全生产法律、法规、规章等规定，履行工程建设安全生产义务，执行工程建设强制性标准和相关技术规范。</w:t>
      </w:r>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t>第七条【科技兴安】</w:t>
      </w:r>
      <w:r w:rsidRPr="00AE0FF6">
        <w:rPr>
          <w:rFonts w:eastAsia="方正仿宋_GBK" w:cs="Times New Roman"/>
          <w:sz w:val="32"/>
          <w:szCs w:val="32"/>
        </w:rPr>
        <w:t>鼓励从业单位利用物联网、大数据、人工智能等现代信息技术，推行数字档案、推进系统互联和数据共享，建立完善施工安全风险管控平台，对施工过程中的重点部位、关键环节实施监测预警和动态分析评估，提高安全管理水平和安全保障能力。</w:t>
      </w:r>
    </w:p>
    <w:p w:rsidR="00D46C6A" w:rsidRPr="00AE0FF6" w:rsidRDefault="00A53694" w:rsidP="00AE0FF6">
      <w:pPr>
        <w:spacing w:line="590" w:lineRule="exact"/>
        <w:ind w:firstLineChars="0" w:firstLine="0"/>
        <w:jc w:val="center"/>
        <w:rPr>
          <w:rFonts w:eastAsia="方正黑体_GBK" w:cs="Times New Roman"/>
          <w:sz w:val="32"/>
          <w:szCs w:val="32"/>
        </w:rPr>
      </w:pPr>
      <w:bookmarkStart w:id="9" w:name="_Toc3067"/>
      <w:bookmarkStart w:id="10" w:name="_Toc16446"/>
      <w:r w:rsidRPr="00AE0FF6">
        <w:rPr>
          <w:rFonts w:eastAsia="方正黑体_GBK" w:cs="Times New Roman"/>
          <w:sz w:val="32"/>
          <w:szCs w:val="32"/>
        </w:rPr>
        <w:t>第二章安全生产监督管理</w:t>
      </w:r>
      <w:bookmarkEnd w:id="9"/>
      <w:bookmarkEnd w:id="10"/>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t>第八条【监督要求】</w:t>
      </w:r>
      <w:r w:rsidRPr="00AE0FF6">
        <w:rPr>
          <w:rFonts w:eastAsia="方正仿宋_GBK" w:cs="Times New Roman"/>
          <w:sz w:val="32"/>
          <w:szCs w:val="32"/>
        </w:rPr>
        <w:t>工程监督机构应当健全工程建设安全生产监督管理制度，协调有关部门依法保障安全生产监督经费和装备，配备具有相应专业知识和业务能力的技术人员，具备开展安全生产监督管理的工作条件，建立工程建设安全生产监督管理责任制，并依据法律、法规和强制性标准等，依法依规、专业高效、公开公正地开展公路水运工程安全生产监督工作。工程监督机构工作人员滥用职权、玩忽职守、徇私舞弊的，依法承担相应法律责任。</w:t>
      </w:r>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t>第九条【监督职责】</w:t>
      </w:r>
      <w:r w:rsidRPr="00AE0FF6">
        <w:rPr>
          <w:rFonts w:eastAsia="方正仿宋_GBK" w:cs="Times New Roman"/>
          <w:sz w:val="32"/>
          <w:szCs w:val="32"/>
        </w:rPr>
        <w:t>工程监督机构应当依法对从业单位执行安全生产有关法律、法规、规章、强制性标准和相关技术规范情况，以及公路水运工程安全生产活动进行监督检查，具体承担以</w:t>
      </w:r>
      <w:r w:rsidRPr="00AE0FF6">
        <w:rPr>
          <w:rFonts w:eastAsia="方正仿宋_GBK" w:cs="Times New Roman"/>
          <w:sz w:val="32"/>
          <w:szCs w:val="32"/>
        </w:rPr>
        <w:lastRenderedPageBreak/>
        <w:t>下职责：</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（一）依法对建设单位提交的保证安全施工措施备案材料进行核查，制定安全生产监督检查计划，并按照计划开展监督管理工作；</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（二）对从业单位全员安全生产责任制、安全管理制度等建立落实情况进行监督检查，督促从业单位落实安全生产责任；</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（三）对从业单位安全生产管理机构或者专职安全生产管理人员的设置和履行职责情况，以及安全生产管理人员和特种作业人员依法应当具备的上岗资格情况等安全生产条件落实情况进行检查；</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（四）依法依规开展重大事故隐患和安全生产违法行为举报调查；</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（五）依法组织或者参与由本级人民政府负责的生产安全事故调查处理，督促落实事故处理的有关决定；</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（六）法律法规规定的其他职责。</w:t>
      </w:r>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t>第十条【监督期限】</w:t>
      </w:r>
      <w:r w:rsidRPr="00AE0FF6">
        <w:rPr>
          <w:rFonts w:eastAsia="方正仿宋_GBK" w:cs="Times New Roman"/>
          <w:sz w:val="32"/>
          <w:szCs w:val="32"/>
        </w:rPr>
        <w:t>工程监督机构应当自建设单位取得公路工程施工许可或者办理水运工程质量监督手续之日起，至工程交工验收完成之日止，依法对公路水运工程实施安全生产监督。</w:t>
      </w:r>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t>第十一条【监督内容】</w:t>
      </w:r>
      <w:r w:rsidRPr="00AE0FF6">
        <w:rPr>
          <w:rFonts w:eastAsia="方正仿宋_GBK" w:cs="Times New Roman"/>
          <w:sz w:val="32"/>
          <w:szCs w:val="32"/>
        </w:rPr>
        <w:t>公路水运工程安全生产监督工作主要包括安全生产备案核查、安全监督检查、平安工地建设指导和层级督查等。</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lastRenderedPageBreak/>
        <w:t>工程监督机构在安全生产监督检查中，可以按照规定委托具有相应资质能力的安全服务单位或者专家开展检查、检测和评估。</w:t>
      </w:r>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t>第十二条【分类监管】</w:t>
      </w:r>
      <w:r w:rsidRPr="00AE0FF6">
        <w:rPr>
          <w:rFonts w:eastAsia="方正仿宋_GBK" w:cs="Times New Roman"/>
          <w:kern w:val="0"/>
          <w:sz w:val="32"/>
          <w:szCs w:val="32"/>
        </w:rPr>
        <w:t>工程监督机构应当根据从业单位的安全生产责任落实及安全保障体系运行等安全责任履行情况开展分类监管，提高工程安全生产监督的效率。</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公路水运工程从业单位安全保障体系运转不正常、安全风险管控措施落实不到位、事故隐患排查治理不到位、存在严重违法违规行为等情况，或者发生一般及以上生产安全事故的，工程监督机构应当采取分类监管措施并增加监督检查频次。</w:t>
      </w:r>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t>第十三条【风险管控】</w:t>
      </w:r>
      <w:r w:rsidRPr="00AE0FF6">
        <w:rPr>
          <w:rFonts w:eastAsia="方正仿宋_GBK" w:cs="Times New Roman"/>
          <w:sz w:val="32"/>
          <w:szCs w:val="32"/>
        </w:rPr>
        <w:t>公路水运工程应当实施安全生产风险分级管控。建设、施工单位应按规定开展施工安全风险评估，并依据评估结论完善施工组织设计、专项施工方案以及应急预案。</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从业单位应当定期开展全面、系统的安全风险辨识、评估，按照安全风险等级实施分级管控，编制安全风险管控清单，每年第一季度完成较大以上安全风险报告，风险管控措施应当符合相关法律、法规和标准规范要求。</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工程监督机构应当加强对从业单位安全风险辨识、评估、管控和报告情况的监督检查。</w:t>
      </w:r>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t>第十四条【隐患治理】</w:t>
      </w:r>
      <w:r w:rsidRPr="00AE0FF6">
        <w:rPr>
          <w:rFonts w:eastAsia="方正仿宋_GBK" w:cs="Times New Roman"/>
          <w:sz w:val="32"/>
          <w:szCs w:val="32"/>
        </w:rPr>
        <w:t>从业单位应当建立健全事故隐患排查治理制度，加强施工现场排查治理，及时制止和纠正违章指挥、强令冒险作业、违反操作规程的行为。</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lastRenderedPageBreak/>
        <w:t>重大事故隐患整改应当制定专项方案，确保责任、措施、资金、时限、预案到位，重大事故隐患排查治理情况应当按规定向工程监督机构报告。</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工程监督机构应当对从业单位事故隐患排查治理情况进行指导和监督检查。</w:t>
      </w:r>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t>第十五条【平安工地】</w:t>
      </w:r>
      <w:r w:rsidRPr="00AE0FF6">
        <w:rPr>
          <w:rFonts w:eastAsia="方正仿宋_GBK" w:cs="Times New Roman"/>
          <w:sz w:val="32"/>
          <w:szCs w:val="32"/>
        </w:rPr>
        <w:t>从业单位应当积极推进公路水运工程平安工地常态化建设，总结、推广平安工地建设的管理经验和创新成果，实现工程安全管理程序化、现场防护标准化、风险管控科学化、隐患治理常态化、应急救援规范化，防范化解安全风险，遏制生产安全事故发生。</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工程监督机构按照职责权限组织对公路水运工程平安工地建设情况开展监督检查。</w:t>
      </w:r>
    </w:p>
    <w:p w:rsidR="00D46C6A" w:rsidRPr="00AE0FF6" w:rsidRDefault="00A53694" w:rsidP="00AE0FF6">
      <w:pPr>
        <w:spacing w:line="590" w:lineRule="exact"/>
        <w:ind w:firstLine="643"/>
        <w:outlineLvl w:val="1"/>
        <w:rPr>
          <w:rFonts w:eastAsia="方正仿宋_GBK" w:cs="Times New Roman"/>
          <w:b/>
          <w:bCs/>
          <w:sz w:val="32"/>
          <w:szCs w:val="32"/>
        </w:rPr>
      </w:pPr>
      <w:r w:rsidRPr="00AE0FF6">
        <w:rPr>
          <w:rFonts w:eastAsia="方正仿宋_GBK" w:cs="Times New Roman"/>
          <w:b/>
          <w:bCs/>
          <w:sz w:val="32"/>
          <w:szCs w:val="32"/>
        </w:rPr>
        <w:t>第十六条【举报制度】</w:t>
      </w:r>
      <w:r w:rsidRPr="00AE0FF6">
        <w:rPr>
          <w:rFonts w:eastAsia="方正仿宋_GBK" w:cs="Times New Roman"/>
          <w:sz w:val="32"/>
          <w:szCs w:val="32"/>
        </w:rPr>
        <w:t>交通运输主管部门应当建立公路水运工程安全生产举报制度，公开举报电话、信箱或者电子邮件地址等举报平台，受理相关举报，依法调查处理。</w:t>
      </w:r>
    </w:p>
    <w:p w:rsidR="00D46C6A" w:rsidRPr="00AE0FF6" w:rsidRDefault="00A53694" w:rsidP="00AE0FF6">
      <w:pPr>
        <w:spacing w:line="590" w:lineRule="exact"/>
        <w:ind w:firstLine="640"/>
        <w:outlineLvl w:val="1"/>
        <w:rPr>
          <w:rFonts w:eastAsia="方正仿宋_GBK" w:cs="Times New Roman"/>
          <w:sz w:val="32"/>
          <w:szCs w:val="32"/>
          <w:highlight w:val="yellow"/>
        </w:rPr>
      </w:pPr>
      <w:r w:rsidRPr="00AE0FF6">
        <w:rPr>
          <w:rFonts w:eastAsia="方正黑体_GBK" w:cs="Times New Roman"/>
          <w:sz w:val="32"/>
          <w:szCs w:val="32"/>
        </w:rPr>
        <w:t>第十七条【事故报告】</w:t>
      </w:r>
      <w:r w:rsidRPr="00AE0FF6">
        <w:rPr>
          <w:rFonts w:eastAsia="方正仿宋_GBK" w:cs="Times New Roman"/>
          <w:sz w:val="32"/>
          <w:szCs w:val="32"/>
        </w:rPr>
        <w:t>公路水运工程发生生产安全事故，从业单位应当按照国家有关规定向交通运输主管部门或者工程监督机构报告；生产安全事故的调查处理，按照国家有关规定执行。</w:t>
      </w:r>
    </w:p>
    <w:p w:rsidR="00D46C6A" w:rsidRPr="00AE0FF6" w:rsidRDefault="00A53694" w:rsidP="00AE0FF6">
      <w:pPr>
        <w:spacing w:line="590" w:lineRule="exact"/>
        <w:ind w:firstLineChars="0" w:firstLine="0"/>
        <w:jc w:val="center"/>
        <w:rPr>
          <w:rFonts w:eastAsia="方正黑体_GBK" w:cs="Times New Roman"/>
          <w:sz w:val="32"/>
          <w:szCs w:val="32"/>
        </w:rPr>
      </w:pPr>
      <w:bookmarkStart w:id="11" w:name="_Toc7287"/>
      <w:bookmarkStart w:id="12" w:name="_Toc4949"/>
      <w:r w:rsidRPr="00AE0FF6">
        <w:rPr>
          <w:rFonts w:eastAsia="方正黑体_GBK" w:cs="Times New Roman"/>
          <w:sz w:val="32"/>
          <w:szCs w:val="32"/>
        </w:rPr>
        <w:t>第三章安全生产备案核查</w:t>
      </w:r>
      <w:bookmarkEnd w:id="11"/>
      <w:bookmarkEnd w:id="12"/>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t>第十八条【备案材料】</w:t>
      </w:r>
      <w:r w:rsidRPr="00AE0FF6">
        <w:rPr>
          <w:rFonts w:eastAsia="方正仿宋_GBK" w:cs="Times New Roman"/>
          <w:sz w:val="32"/>
          <w:szCs w:val="32"/>
        </w:rPr>
        <w:t>建设单位向工程监督机构申请办理工程质量监督手续时，提交保证安全施工措施的材料。</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lastRenderedPageBreak/>
        <w:t>保证安全施工措施的材料应当包括从业单位对其项目负责人、安全负责人的书面授权委托书、安全生产保障体系等文件以及法律、法规、规章等规定提供的其他相关材料。</w:t>
      </w:r>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t>第十九条【项目审查】</w:t>
      </w:r>
      <w:r w:rsidRPr="00AE0FF6">
        <w:rPr>
          <w:rFonts w:eastAsia="方正仿宋_GBK" w:cs="Times New Roman"/>
          <w:sz w:val="32"/>
          <w:szCs w:val="32"/>
        </w:rPr>
        <w:t>建设单位应当对拟提交的保证安全施工措施材料进行审核，项目负责人在公路水运工程安全生产监督备案材料核查表上签字并加盖单位公章，对审核记录及结论负责。</w:t>
      </w:r>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t>第二十条【备案核查】</w:t>
      </w:r>
      <w:r w:rsidRPr="00AE0FF6">
        <w:rPr>
          <w:rFonts w:eastAsia="方正仿宋_GBK" w:cs="Times New Roman"/>
          <w:sz w:val="32"/>
          <w:szCs w:val="32"/>
        </w:rPr>
        <w:t>工程监督机构应当在十五个工作日内完成建设单位提交的保证安全施工措施的材料核查，不符合要求的，应当一次性书面告知建设单位需要补充的相关内容。</w:t>
      </w:r>
    </w:p>
    <w:p w:rsidR="00D46C6A" w:rsidRPr="00AE0FF6" w:rsidRDefault="00A53694" w:rsidP="00AE0FF6">
      <w:pPr>
        <w:spacing w:line="590" w:lineRule="exact"/>
        <w:ind w:firstLineChars="0" w:firstLine="0"/>
        <w:jc w:val="center"/>
        <w:rPr>
          <w:rFonts w:eastAsia="方正黑体_GBK" w:cs="Times New Roman"/>
          <w:sz w:val="32"/>
          <w:szCs w:val="32"/>
        </w:rPr>
      </w:pPr>
      <w:bookmarkStart w:id="13" w:name="_Toc29615"/>
      <w:bookmarkStart w:id="14" w:name="_Toc15665"/>
      <w:r w:rsidRPr="00AE0FF6">
        <w:rPr>
          <w:rFonts w:eastAsia="方正黑体_GBK" w:cs="Times New Roman"/>
          <w:sz w:val="32"/>
          <w:szCs w:val="32"/>
        </w:rPr>
        <w:t>第四章安全生产监督检查</w:t>
      </w:r>
      <w:bookmarkEnd w:id="13"/>
      <w:bookmarkEnd w:id="14"/>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t>第二十一条【督查内容】</w:t>
      </w:r>
      <w:r w:rsidRPr="00AE0FF6">
        <w:rPr>
          <w:rFonts w:eastAsia="方正仿宋_GBK" w:cs="Times New Roman"/>
          <w:sz w:val="32"/>
          <w:szCs w:val="32"/>
        </w:rPr>
        <w:t>安全生产监督检查主要内容包括：</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（一）从业单位执行安全生产法律、法规、规章、强制性标准和相关技术规范情况；</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（二）从业单位落实法律、法规、规章和标准规范等规定的安全生产条件情况；</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（三）安全风险分级管控和隐患排查治理双重预防工作机制建立和运行情况；</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（四）施工单位施工场地布置、现场安全防护、施工工艺操作和施工安全管理活动记录等方面的安全生产标准化建设推进情况；</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（五）生产安全事故应急预案、应急演练和应急保障等情况；</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lastRenderedPageBreak/>
        <w:t>（六）平安工地建设情况；</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（七）法律、法规、规章规定的其他内容。</w:t>
      </w:r>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t>第二十二条【督查方式】</w:t>
      </w:r>
      <w:r w:rsidRPr="00AE0FF6">
        <w:rPr>
          <w:rFonts w:eastAsia="方正仿宋_GBK" w:cs="Times New Roman"/>
          <w:sz w:val="32"/>
          <w:szCs w:val="32"/>
        </w:rPr>
        <w:t>工程监督机构应当根据职责，结合工程年度施工计划制定年度监督检查计划，确定检查内容、方式、频次及要求，可根据工程实际进展进行调整。监督检查可以采取随机抽查、专项检查、综合督查和备案核查等方式。</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（一）随机抽查应当重点检查施工现场安全生产条件、风险防控措施落实、内业资料等情况；</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（二）专项检查应当结合重点时段以及专项工作部署开展检查，重点检查工程项目的关键施工工序、重要部位等安全生产状况；</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（三）综合督查应当重点检查参建单位平安工地建设、安全管理体系运行、双重预防机制运行以及施工现场安全生产行为等内容；</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（四）备案核查应当重点对安全生产监督备案材料进行核查。</w:t>
      </w:r>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t>第二十三条【督查权力】</w:t>
      </w:r>
      <w:r w:rsidRPr="00AE0FF6">
        <w:rPr>
          <w:rFonts w:eastAsia="方正仿宋_GBK" w:cs="Times New Roman"/>
          <w:sz w:val="32"/>
          <w:szCs w:val="32"/>
        </w:rPr>
        <w:t>工程监督机构在职责范围内开展安全生产监督检查时，有权采取下列措施：</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（一）进入被检查单位、施工现场进行检查；</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（二）询问被检查单位工作人员，要求其说明有关情况；</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（三）要求被检查单位提供有关工程安全生产的资料；</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（四）对发现的安全生产违法行为或者重大事故隐患，依法</w:t>
      </w:r>
      <w:r w:rsidRPr="00AE0FF6">
        <w:rPr>
          <w:rFonts w:eastAsia="方正仿宋_GBK" w:cs="Times New Roman"/>
          <w:sz w:val="32"/>
          <w:szCs w:val="32"/>
        </w:rPr>
        <w:lastRenderedPageBreak/>
        <w:t>责令改正、暂时停止施工；</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（五）约谈被检查单位相关负责人；</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（六）法律、法规、规章规定的其他措施。</w:t>
      </w:r>
    </w:p>
    <w:p w:rsidR="00D46C6A" w:rsidRPr="00AE0FF6" w:rsidRDefault="00A53694" w:rsidP="00AE0FF6">
      <w:pPr>
        <w:spacing w:line="590" w:lineRule="exact"/>
        <w:ind w:firstLine="640"/>
        <w:outlineLvl w:val="1"/>
        <w:rPr>
          <w:rFonts w:eastAsia="方正仿宋_GBK" w:cs="Times New Roman"/>
          <w:b/>
          <w:bCs/>
          <w:sz w:val="32"/>
          <w:szCs w:val="32"/>
        </w:rPr>
      </w:pPr>
      <w:r w:rsidRPr="00AE0FF6">
        <w:rPr>
          <w:rFonts w:eastAsia="方正黑体_GBK" w:cs="Times New Roman"/>
          <w:sz w:val="32"/>
          <w:szCs w:val="32"/>
        </w:rPr>
        <w:t>第二十四条【现场反馈】</w:t>
      </w:r>
      <w:r w:rsidRPr="00AE0FF6">
        <w:rPr>
          <w:rFonts w:eastAsia="方正仿宋_GBK" w:cs="Times New Roman"/>
          <w:sz w:val="32"/>
          <w:szCs w:val="32"/>
        </w:rPr>
        <w:t>工程监督机构应当及时向建设单位现场反馈监督检查中发现的问题，提出书面监督检查意见，并根据情况作出如下处理：</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（一）被检查单位存在安全管理问题需要整改的，以书面方式通知存在问题的单位限期整改；</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（二）发现安全生产违法行为的，按规定依法实施行政处罚或者移交有关部门处理；</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（三）被检查单位存在安全事故隐患的，责令立即排除；重大事故隐患排除前暂时停止施工，并按规定专项治理。</w:t>
      </w:r>
    </w:p>
    <w:p w:rsidR="00D46C6A" w:rsidRPr="00AE0FF6" w:rsidRDefault="00A53694" w:rsidP="00AE0FF6">
      <w:pPr>
        <w:spacing w:line="590" w:lineRule="exact"/>
        <w:ind w:firstLine="640"/>
        <w:rPr>
          <w:rFonts w:eastAsia="方正仿宋_GBK" w:cs="Times New Roman"/>
          <w:sz w:val="32"/>
          <w:szCs w:val="32"/>
        </w:rPr>
      </w:pPr>
      <w:r w:rsidRPr="00AE0FF6">
        <w:rPr>
          <w:rFonts w:eastAsia="方正仿宋_GBK" w:cs="Times New Roman"/>
          <w:sz w:val="32"/>
          <w:szCs w:val="32"/>
        </w:rPr>
        <w:t>监督检查结果按照规定纳入从业单位、从业人员的履约考核和信用管理。</w:t>
      </w:r>
    </w:p>
    <w:p w:rsidR="00D46C6A" w:rsidRPr="00AE0FF6" w:rsidRDefault="00A53694" w:rsidP="00AE0FF6">
      <w:pPr>
        <w:spacing w:line="590" w:lineRule="exact"/>
        <w:ind w:firstLine="640"/>
        <w:outlineLvl w:val="1"/>
        <w:rPr>
          <w:rFonts w:eastAsia="方正仿宋_GBK" w:cs="Times New Roman"/>
          <w:b/>
          <w:bCs/>
          <w:sz w:val="32"/>
          <w:szCs w:val="32"/>
        </w:rPr>
      </w:pPr>
      <w:r w:rsidRPr="00AE0FF6">
        <w:rPr>
          <w:rFonts w:eastAsia="方正黑体_GBK" w:cs="Times New Roman"/>
          <w:sz w:val="32"/>
          <w:szCs w:val="32"/>
        </w:rPr>
        <w:t>第二十五条【跟踪整改】</w:t>
      </w:r>
      <w:r w:rsidRPr="00AE0FF6">
        <w:rPr>
          <w:rFonts w:eastAsia="方正仿宋_GBK" w:cs="Times New Roman"/>
          <w:sz w:val="32"/>
          <w:szCs w:val="32"/>
        </w:rPr>
        <w:t>建设单位应当按照书面监督检查意见的要求，对存在的问题进行整改，并自收到书面监督检查意见之日起十五日内，将整改情况书面反馈至工程监督机构。工程监督机构可以对建设单位的整改情况报告进行抽查或者复核。</w:t>
      </w:r>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t>第二十六条【问题处理】</w:t>
      </w:r>
      <w:r w:rsidRPr="00AE0FF6">
        <w:rPr>
          <w:rFonts w:eastAsia="方正仿宋_GBK" w:cs="Times New Roman"/>
          <w:sz w:val="32"/>
          <w:szCs w:val="32"/>
        </w:rPr>
        <w:t>工程监督机构对从业单位未按规定履行安全生产主体职责的，可以采取通报、约谈等措施；对未履行安全生产主体职责、存在重大事故隐患的建设项目，应当采取</w:t>
      </w:r>
      <w:r w:rsidRPr="00AE0FF6">
        <w:rPr>
          <w:rFonts w:eastAsia="方正仿宋_GBK" w:cs="Times New Roman"/>
          <w:sz w:val="32"/>
          <w:szCs w:val="32"/>
        </w:rPr>
        <w:lastRenderedPageBreak/>
        <w:t>挂牌督办措施；对违反法律法规规定的行为，应当依法处理。</w:t>
      </w:r>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t>第二十七条【层级督查】</w:t>
      </w:r>
      <w:r w:rsidRPr="00AE0FF6">
        <w:rPr>
          <w:rFonts w:eastAsia="方正仿宋_GBK" w:cs="Times New Roman"/>
          <w:sz w:val="32"/>
          <w:szCs w:val="32"/>
        </w:rPr>
        <w:t>上级工程监督机构应当按照年度监督检查计划抽查下级工程监督机构监管的公路水运工程项目安全生产状况，督查结束后应当形成督查通报，提出安全生产监督工作中存在的问题及整改意见。被督查单位应当按照要求及时反馈整改情况。</w:t>
      </w:r>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bCs/>
          <w:sz w:val="32"/>
          <w:szCs w:val="32"/>
        </w:rPr>
        <w:t>第二十八条【联合监管】</w:t>
      </w:r>
      <w:r w:rsidRPr="00AE0FF6">
        <w:rPr>
          <w:rFonts w:eastAsia="方正仿宋_GBK" w:cs="Times New Roman"/>
          <w:sz w:val="32"/>
          <w:szCs w:val="32"/>
        </w:rPr>
        <w:t>对于建设周期长、技术复杂、施工安全风险高的公路水运工程，负责监督的省工程监督机构可以联合设区的市工程监督机构、负责监督的设区的市工程监督机构可以联合县（市、区）工程监督机构开展工程安全生产监督。</w:t>
      </w:r>
    </w:p>
    <w:p w:rsidR="00D46C6A" w:rsidRPr="00AE0FF6" w:rsidRDefault="00A53694" w:rsidP="00AE0FF6">
      <w:pPr>
        <w:spacing w:line="590" w:lineRule="exact"/>
        <w:ind w:firstLineChars="0" w:firstLine="0"/>
        <w:jc w:val="center"/>
        <w:rPr>
          <w:rFonts w:eastAsia="方正黑体_GBK" w:cs="Times New Roman"/>
          <w:sz w:val="32"/>
          <w:szCs w:val="32"/>
        </w:rPr>
      </w:pPr>
      <w:bookmarkStart w:id="15" w:name="_Toc4397"/>
      <w:bookmarkStart w:id="16" w:name="_Toc12071"/>
      <w:r w:rsidRPr="00AE0FF6">
        <w:rPr>
          <w:rFonts w:eastAsia="方正黑体_GBK" w:cs="Times New Roman"/>
          <w:sz w:val="32"/>
          <w:szCs w:val="32"/>
        </w:rPr>
        <w:t>第五章附则</w:t>
      </w:r>
      <w:bookmarkEnd w:id="15"/>
      <w:bookmarkEnd w:id="16"/>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t>第二十九条【参照执行】</w:t>
      </w:r>
      <w:r w:rsidRPr="00AE0FF6">
        <w:rPr>
          <w:rFonts w:eastAsia="方正仿宋_GBK" w:cs="Times New Roman"/>
          <w:sz w:val="32"/>
          <w:szCs w:val="32"/>
        </w:rPr>
        <w:t>公路、水运基础设施拆除、大修的安全生产监督管理，可以参照本办法有关规定执行。</w:t>
      </w:r>
    </w:p>
    <w:p w:rsidR="00D46C6A" w:rsidRPr="00AE0FF6" w:rsidRDefault="00A53694" w:rsidP="00AE0FF6">
      <w:pPr>
        <w:spacing w:line="590" w:lineRule="exact"/>
        <w:ind w:firstLine="640"/>
        <w:outlineLvl w:val="1"/>
        <w:rPr>
          <w:rFonts w:eastAsia="方正仿宋_GBK" w:cs="Times New Roman"/>
          <w:sz w:val="32"/>
          <w:szCs w:val="32"/>
        </w:rPr>
      </w:pPr>
      <w:r w:rsidRPr="00AE0FF6">
        <w:rPr>
          <w:rFonts w:eastAsia="方正黑体_GBK" w:cs="Times New Roman"/>
          <w:sz w:val="32"/>
          <w:szCs w:val="32"/>
        </w:rPr>
        <w:t>第三十条【实施日期】</w:t>
      </w:r>
      <w:r w:rsidRPr="00AE0FF6">
        <w:rPr>
          <w:rFonts w:eastAsia="方正仿宋_GBK" w:cs="Times New Roman"/>
          <w:sz w:val="32"/>
          <w:szCs w:val="32"/>
        </w:rPr>
        <w:t>本办法自</w:t>
      </w:r>
      <w:r w:rsidRPr="00AE0FF6">
        <w:rPr>
          <w:rFonts w:eastAsia="方正仿宋_GBK" w:cs="Times New Roman"/>
          <w:sz w:val="32"/>
          <w:szCs w:val="32"/>
        </w:rPr>
        <w:t>20XX</w:t>
      </w:r>
      <w:r w:rsidRPr="00AE0FF6">
        <w:rPr>
          <w:rFonts w:eastAsia="方正仿宋_GBK" w:cs="Times New Roman"/>
          <w:sz w:val="32"/>
          <w:szCs w:val="32"/>
        </w:rPr>
        <w:t>年</w:t>
      </w:r>
      <w:r w:rsidRPr="00AE0FF6">
        <w:rPr>
          <w:rFonts w:eastAsia="方正仿宋_GBK" w:cs="Times New Roman"/>
          <w:sz w:val="32"/>
          <w:szCs w:val="32"/>
        </w:rPr>
        <w:t>XX</w:t>
      </w:r>
      <w:r w:rsidRPr="00AE0FF6">
        <w:rPr>
          <w:rFonts w:eastAsia="方正仿宋_GBK" w:cs="Times New Roman"/>
          <w:sz w:val="32"/>
          <w:szCs w:val="32"/>
        </w:rPr>
        <w:t>月</w:t>
      </w:r>
      <w:r w:rsidRPr="00AE0FF6">
        <w:rPr>
          <w:rFonts w:eastAsia="方正仿宋_GBK" w:cs="Times New Roman"/>
          <w:sz w:val="32"/>
          <w:szCs w:val="32"/>
        </w:rPr>
        <w:t>XX</w:t>
      </w:r>
      <w:r w:rsidRPr="00AE0FF6">
        <w:rPr>
          <w:rFonts w:eastAsia="方正仿宋_GBK" w:cs="Times New Roman"/>
          <w:sz w:val="32"/>
          <w:szCs w:val="32"/>
        </w:rPr>
        <w:t>日起施行，有效期至</w:t>
      </w:r>
      <w:r w:rsidRPr="00AE0FF6">
        <w:rPr>
          <w:rFonts w:eastAsia="方正仿宋_GBK" w:cs="Times New Roman"/>
          <w:sz w:val="32"/>
          <w:szCs w:val="32"/>
        </w:rPr>
        <w:t>20XX</w:t>
      </w:r>
      <w:r w:rsidRPr="00AE0FF6">
        <w:rPr>
          <w:rFonts w:eastAsia="方正仿宋_GBK" w:cs="Times New Roman"/>
          <w:sz w:val="32"/>
          <w:szCs w:val="32"/>
        </w:rPr>
        <w:t>年</w:t>
      </w:r>
      <w:r w:rsidRPr="00AE0FF6">
        <w:rPr>
          <w:rFonts w:eastAsia="方正仿宋_GBK" w:cs="Times New Roman"/>
          <w:sz w:val="32"/>
          <w:szCs w:val="32"/>
        </w:rPr>
        <w:t>XX</w:t>
      </w:r>
      <w:r w:rsidRPr="00AE0FF6">
        <w:rPr>
          <w:rFonts w:eastAsia="方正仿宋_GBK" w:cs="Times New Roman"/>
          <w:sz w:val="32"/>
          <w:szCs w:val="32"/>
        </w:rPr>
        <w:t>月</w:t>
      </w:r>
      <w:r w:rsidRPr="00AE0FF6">
        <w:rPr>
          <w:rFonts w:eastAsia="方正仿宋_GBK" w:cs="Times New Roman"/>
          <w:sz w:val="32"/>
          <w:szCs w:val="32"/>
        </w:rPr>
        <w:t>XX</w:t>
      </w:r>
      <w:r w:rsidRPr="00AE0FF6">
        <w:rPr>
          <w:rFonts w:eastAsia="方正仿宋_GBK" w:cs="Times New Roman"/>
          <w:sz w:val="32"/>
          <w:szCs w:val="32"/>
        </w:rPr>
        <w:t>日。《江苏省公路水运建设工程安全监管规定》（苏交规〔</w:t>
      </w:r>
      <w:r w:rsidRPr="00AE0FF6">
        <w:rPr>
          <w:rFonts w:eastAsia="方正仿宋_GBK" w:cs="Times New Roman"/>
          <w:sz w:val="32"/>
          <w:szCs w:val="32"/>
        </w:rPr>
        <w:t>2012</w:t>
      </w:r>
      <w:r w:rsidRPr="00AE0FF6">
        <w:rPr>
          <w:rFonts w:eastAsia="方正仿宋_GBK" w:cs="Times New Roman"/>
          <w:sz w:val="32"/>
          <w:szCs w:val="32"/>
        </w:rPr>
        <w:t>〕</w:t>
      </w:r>
      <w:r w:rsidRPr="00AE0FF6">
        <w:rPr>
          <w:rFonts w:eastAsia="方正仿宋_GBK" w:cs="Times New Roman"/>
          <w:sz w:val="32"/>
          <w:szCs w:val="32"/>
        </w:rPr>
        <w:t>3</w:t>
      </w:r>
      <w:r w:rsidRPr="00AE0FF6">
        <w:rPr>
          <w:rFonts w:eastAsia="方正仿宋_GBK" w:cs="Times New Roman"/>
          <w:sz w:val="32"/>
          <w:szCs w:val="32"/>
        </w:rPr>
        <w:t>号）自本办法施行之日起废止。</w:t>
      </w:r>
    </w:p>
    <w:p w:rsidR="00D46C6A" w:rsidRPr="00AE0FF6" w:rsidRDefault="00D46C6A">
      <w:pPr>
        <w:spacing w:before="156" w:after="156" w:line="440" w:lineRule="exact"/>
        <w:ind w:firstLineChars="0" w:firstLine="0"/>
        <w:jc w:val="center"/>
        <w:rPr>
          <w:rFonts w:eastAsia="黑体" w:cs="Times New Roman"/>
          <w:sz w:val="28"/>
          <w:szCs w:val="28"/>
          <w:u w:color="000000"/>
          <w:lang w:val="zh-TW" w:eastAsia="zh-TW"/>
        </w:rPr>
      </w:pPr>
    </w:p>
    <w:sectPr w:rsidR="00D46C6A" w:rsidRPr="00AE0FF6" w:rsidSect="00D46C6A">
      <w:footerReference w:type="default" r:id="rId13"/>
      <w:pgSz w:w="11906" w:h="16838"/>
      <w:pgMar w:top="2098" w:right="1474" w:bottom="1984" w:left="1587" w:header="851" w:footer="992" w:gutter="0"/>
      <w:pgNumType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35BE" w:rsidRDefault="00B535BE">
      <w:pPr>
        <w:spacing w:line="240" w:lineRule="auto"/>
        <w:ind w:firstLine="480"/>
      </w:pPr>
      <w:r>
        <w:separator/>
      </w:r>
    </w:p>
  </w:endnote>
  <w:endnote w:type="continuationSeparator" w:id="1">
    <w:p w:rsidR="00B535BE" w:rsidRDefault="00B535BE">
      <w:pPr>
        <w:spacing w:line="240" w:lineRule="auto"/>
        <w:ind w:firstLine="48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embedRegular r:id="rId1" w:subsetted="1" w:fontKey="{C37B4B15-B4CC-427A-9BB7-281A17F6CAD6}"/>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楷体">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embedRegular r:id="rId2" w:subsetted="1" w:fontKey="{DA201C42-6AC6-4DA4-84FD-308A8A74C495}"/>
  </w:font>
  <w:font w:name="方正仿宋_GBK">
    <w:panose1 w:val="03000509000000000000"/>
    <w:charset w:val="86"/>
    <w:family w:val="script"/>
    <w:pitch w:val="fixed"/>
    <w:sig w:usb0="00000001" w:usb1="080E0000" w:usb2="00000010" w:usb3="00000000" w:csb0="00040000" w:csb1="00000000"/>
    <w:embedRegular r:id="rId3" w:subsetted="1" w:fontKey="{04681A94-67C0-42BC-ABBA-D3E887C910CB}"/>
    <w:embedBold r:id="rId4" w:subsetted="1" w:fontKey="{BB7F4068-3590-4AFF-912A-806F2FE3BCD4}"/>
  </w:font>
  <w:font w:name="方正楷体_GBK">
    <w:panose1 w:val="03000509000000000000"/>
    <w:charset w:val="86"/>
    <w:family w:val="script"/>
    <w:pitch w:val="fixed"/>
    <w:sig w:usb0="00000001" w:usb1="080E0000" w:usb2="00000010" w:usb3="00000000" w:csb0="00040000" w:csb1="00000000"/>
    <w:embedRegular r:id="rId5" w:subsetted="1" w:fontKey="{838EF2EC-D8E9-43C9-902A-726CADD788B1}"/>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0FF6" w:rsidRDefault="00AE0FF6" w:rsidP="00AE0FF6">
    <w:pPr>
      <w:pStyle w:val="a5"/>
      <w:ind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6A" w:rsidRDefault="004B4554" w:rsidP="00AE0FF6">
    <w:pPr>
      <w:pStyle w:val="a5"/>
      <w:ind w:firstLine="360"/>
    </w:pPr>
    <w:r>
      <w:pict>
        <v:shapetype id="_x0000_t202" coordsize="21600,21600" o:spt="202" path="m,l,21600r21600,l21600,xe">
          <v:stroke joinstyle="miter"/>
          <v:path gradientshapeok="t" o:connecttype="rect"/>
        </v:shapetype>
        <v:shape id="_x0000_s2050" type="#_x0000_t202" style="position:absolute;left:0;text-align:left;margin-left:0;margin-top:0;width:2in;height:2in;z-index:251659264;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filled="f" stroked="f" strokeweight=".5pt">
          <v:textbox style="mso-fit-shape-to-text:t" inset="0,0,0,0">
            <w:txbxContent>
              <w:p w:rsidR="00D46C6A" w:rsidRDefault="00A53694" w:rsidP="00AE0FF6">
                <w:pPr>
                  <w:pStyle w:val="a5"/>
                  <w:ind w:firstLine="560"/>
                  <w:rPr>
                    <w:rFonts w:asciiTheme="minorEastAsia" w:eastAsiaTheme="minorEastAsia" w:hAnsiTheme="minorEastAsia" w:cstheme="minorEastAsia"/>
                    <w:sz w:val="28"/>
                    <w:szCs w:val="28"/>
                  </w:rPr>
                </w:pPr>
                <w:r>
                  <w:rPr>
                    <w:rFonts w:asciiTheme="minorEastAsia" w:eastAsiaTheme="minorEastAsia" w:hAnsiTheme="minorEastAsia" w:cstheme="minorEastAsia" w:hint="eastAsia"/>
                    <w:sz w:val="28"/>
                    <w:szCs w:val="28"/>
                  </w:rPr>
                  <w:t xml:space="preserve">— </w:t>
                </w:r>
                <w:r w:rsidR="004B4554">
                  <w:rPr>
                    <w:rFonts w:asciiTheme="minorEastAsia" w:eastAsiaTheme="minorEastAsia" w:hAnsiTheme="minorEastAsia" w:cstheme="minorEastAsia" w:hint="eastAsia"/>
                    <w:sz w:val="28"/>
                    <w:szCs w:val="28"/>
                  </w:rPr>
                  <w:fldChar w:fldCharType="begin"/>
                </w:r>
                <w:r>
                  <w:rPr>
                    <w:rFonts w:asciiTheme="minorEastAsia" w:eastAsiaTheme="minorEastAsia" w:hAnsiTheme="minorEastAsia" w:cstheme="minorEastAsia" w:hint="eastAsia"/>
                    <w:sz w:val="28"/>
                    <w:szCs w:val="28"/>
                  </w:rPr>
                  <w:instrText xml:space="preserve"> PAGE  \* MERGEFORMAT </w:instrText>
                </w:r>
                <w:r w:rsidR="004B4554">
                  <w:rPr>
                    <w:rFonts w:asciiTheme="minorEastAsia" w:eastAsiaTheme="minorEastAsia" w:hAnsiTheme="minorEastAsia" w:cstheme="minorEastAsia" w:hint="eastAsia"/>
                    <w:sz w:val="28"/>
                    <w:szCs w:val="28"/>
                  </w:rPr>
                  <w:fldChar w:fldCharType="separate"/>
                </w:r>
                <w:r w:rsidR="0088531D">
                  <w:rPr>
                    <w:rFonts w:asciiTheme="minorEastAsia" w:eastAsiaTheme="minorEastAsia" w:hAnsiTheme="minorEastAsia" w:cstheme="minorEastAsia"/>
                    <w:noProof/>
                    <w:sz w:val="28"/>
                    <w:szCs w:val="28"/>
                  </w:rPr>
                  <w:t>1</w:t>
                </w:r>
                <w:r w:rsidR="004B4554">
                  <w:rPr>
                    <w:rFonts w:asciiTheme="minorEastAsia" w:eastAsiaTheme="minorEastAsia" w:hAnsiTheme="minorEastAsia" w:cstheme="minorEastAsia" w:hint="eastAsia"/>
                    <w:sz w:val="28"/>
                    <w:szCs w:val="28"/>
                  </w:rPr>
                  <w:fldChar w:fldCharType="end"/>
                </w:r>
                <w:r>
                  <w:rPr>
                    <w:rFonts w:asciiTheme="minorEastAsia" w:eastAsiaTheme="minorEastAsia" w:hAnsiTheme="minorEastAsia" w:cstheme="minorEastAsia" w:hint="eastAsia"/>
                    <w:sz w:val="28"/>
                    <w:szCs w:val="28"/>
                  </w:rPr>
                  <w:t xml:space="preserve"> —</w:t>
                </w:r>
              </w:p>
            </w:txbxContent>
          </v:textbox>
          <w10:wrap anchorx="margin"/>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0FF6" w:rsidRDefault="00AE0FF6" w:rsidP="00AE0FF6">
    <w:pPr>
      <w:pStyle w:val="a5"/>
      <w:ind w:firstLine="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6A" w:rsidRDefault="004B4554" w:rsidP="00AE0FF6">
    <w:pPr>
      <w:pStyle w:val="a5"/>
      <w:ind w:firstLine="360"/>
    </w:pPr>
    <w:r>
      <w:pict>
        <v:shapetype id="_x0000_t202" coordsize="21600,21600" o:spt="202" path="m,l,21600r21600,l21600,xe">
          <v:stroke joinstyle="miter"/>
          <v:path gradientshapeok="t" o:connecttype="rect"/>
        </v:shapetype>
        <v:shape id="_x0000_s2051" type="#_x0000_t202" style="position:absolute;left:0;text-align:left;margin-left:0;margin-top:0;width:2in;height:2in;z-index:251660288;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filled="f" stroked="f" strokeweight=".5pt">
          <v:textbox style="mso-fit-shape-to-text:t" inset="0,0,0,0">
            <w:txbxContent>
              <w:p w:rsidR="00D46C6A" w:rsidRDefault="00A53694" w:rsidP="00AE0FF6">
                <w:pPr>
                  <w:pStyle w:val="a5"/>
                  <w:ind w:firstLine="560"/>
                  <w:rPr>
                    <w:rFonts w:asciiTheme="minorEastAsia" w:eastAsiaTheme="minorEastAsia" w:hAnsiTheme="minorEastAsia" w:cstheme="minorEastAsia"/>
                    <w:sz w:val="28"/>
                    <w:szCs w:val="28"/>
                  </w:rPr>
                </w:pPr>
                <w:r>
                  <w:rPr>
                    <w:rFonts w:asciiTheme="minorEastAsia" w:eastAsiaTheme="minorEastAsia" w:hAnsiTheme="minorEastAsia" w:cstheme="minorEastAsia" w:hint="eastAsia"/>
                    <w:sz w:val="28"/>
                    <w:szCs w:val="28"/>
                  </w:rPr>
                  <w:t xml:space="preserve">— </w:t>
                </w:r>
                <w:r w:rsidR="004B4554">
                  <w:rPr>
                    <w:rFonts w:asciiTheme="minorEastAsia" w:eastAsiaTheme="minorEastAsia" w:hAnsiTheme="minorEastAsia" w:cstheme="minorEastAsia" w:hint="eastAsia"/>
                    <w:sz w:val="28"/>
                    <w:szCs w:val="28"/>
                  </w:rPr>
                  <w:fldChar w:fldCharType="begin"/>
                </w:r>
                <w:r>
                  <w:rPr>
                    <w:rFonts w:asciiTheme="minorEastAsia" w:eastAsiaTheme="minorEastAsia" w:hAnsiTheme="minorEastAsia" w:cstheme="minorEastAsia" w:hint="eastAsia"/>
                    <w:sz w:val="28"/>
                    <w:szCs w:val="28"/>
                  </w:rPr>
                  <w:instrText xml:space="preserve"> PAGE  \* MERGEFORMAT </w:instrText>
                </w:r>
                <w:r w:rsidR="004B4554">
                  <w:rPr>
                    <w:rFonts w:asciiTheme="minorEastAsia" w:eastAsiaTheme="minorEastAsia" w:hAnsiTheme="minorEastAsia" w:cstheme="minorEastAsia" w:hint="eastAsia"/>
                    <w:sz w:val="28"/>
                    <w:szCs w:val="28"/>
                  </w:rPr>
                  <w:fldChar w:fldCharType="separate"/>
                </w:r>
                <w:r w:rsidR="0088531D">
                  <w:rPr>
                    <w:rFonts w:asciiTheme="minorEastAsia" w:eastAsiaTheme="minorEastAsia" w:hAnsiTheme="minorEastAsia" w:cstheme="minorEastAsia"/>
                    <w:noProof/>
                    <w:sz w:val="28"/>
                    <w:szCs w:val="28"/>
                  </w:rPr>
                  <w:t>10</w:t>
                </w:r>
                <w:r w:rsidR="004B4554">
                  <w:rPr>
                    <w:rFonts w:asciiTheme="minorEastAsia" w:eastAsiaTheme="minorEastAsia" w:hAnsiTheme="minorEastAsia" w:cstheme="minorEastAsia" w:hint="eastAsia"/>
                    <w:sz w:val="28"/>
                    <w:szCs w:val="28"/>
                  </w:rPr>
                  <w:fldChar w:fldCharType="end"/>
                </w:r>
                <w:r>
                  <w:rPr>
                    <w:rFonts w:asciiTheme="minorEastAsia" w:eastAsiaTheme="minorEastAsia" w:hAnsiTheme="minorEastAsia" w:cstheme="minorEastAsia" w:hint="eastAsia"/>
                    <w:sz w:val="28"/>
                    <w:szCs w:val="28"/>
                  </w:rPr>
                  <w:t xml:space="preserve"> —</w:t>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35BE" w:rsidRDefault="00B535BE">
      <w:pPr>
        <w:spacing w:line="240" w:lineRule="auto"/>
        <w:ind w:firstLine="480"/>
      </w:pPr>
      <w:r>
        <w:separator/>
      </w:r>
    </w:p>
  </w:footnote>
  <w:footnote w:type="continuationSeparator" w:id="1">
    <w:p w:rsidR="00B535BE" w:rsidRDefault="00B535BE">
      <w:pPr>
        <w:spacing w:line="240" w:lineRule="auto"/>
        <w:ind w:firstLine="48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0FF6" w:rsidRDefault="00AE0FF6" w:rsidP="00AE0FF6">
    <w:pPr>
      <w:pStyle w:val="a6"/>
      <w:ind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0FF6" w:rsidRDefault="00AE0FF6" w:rsidP="00AE0FF6">
    <w:pPr>
      <w:pStyle w:val="a6"/>
      <w:ind w:firstLine="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0FF6" w:rsidRDefault="00AE0FF6" w:rsidP="00AE0FF6">
    <w:pPr>
      <w:pStyle w:val="a6"/>
      <w:ind w:firstLine="360"/>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TrueTypeFonts/>
  <w:saveSubsetFonts/>
  <w:bordersDoNotSurroundHeader/>
  <w:bordersDoNotSurroundFooter/>
  <w:trackRevisions/>
  <w:defaultTabStop w:val="420"/>
  <w:drawingGridHorizontalSpacing w:val="120"/>
  <w:drawingGridVerticalSpacing w:val="163"/>
  <w:displayHorizontalDrawingGridEvery w:val="2"/>
  <w:displayVerticalDrawingGridEvery w:val="2"/>
  <w:noPunctuationKerning/>
  <w:characterSpacingControl w:val="compressPunctuation"/>
  <w:hdrShapeDefaults>
    <o:shapedefaults v:ext="edit" spidmax="4098"/>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
  <w:rsids>
    <w:rsidRoot w:val="76622619"/>
    <w:rsid w:val="0004178C"/>
    <w:rsid w:val="00082514"/>
    <w:rsid w:val="00125C9F"/>
    <w:rsid w:val="00164A3C"/>
    <w:rsid w:val="001B5218"/>
    <w:rsid w:val="00346462"/>
    <w:rsid w:val="004B4554"/>
    <w:rsid w:val="004C5726"/>
    <w:rsid w:val="005A36A5"/>
    <w:rsid w:val="005C4C45"/>
    <w:rsid w:val="00661623"/>
    <w:rsid w:val="00851716"/>
    <w:rsid w:val="0088531D"/>
    <w:rsid w:val="008A510E"/>
    <w:rsid w:val="008B7133"/>
    <w:rsid w:val="008E5A4A"/>
    <w:rsid w:val="00A53694"/>
    <w:rsid w:val="00AE0FF6"/>
    <w:rsid w:val="00B535BE"/>
    <w:rsid w:val="00B600AF"/>
    <w:rsid w:val="00C1498C"/>
    <w:rsid w:val="00CB68D2"/>
    <w:rsid w:val="00D43415"/>
    <w:rsid w:val="00D46C6A"/>
    <w:rsid w:val="00EA26A6"/>
    <w:rsid w:val="00F35924"/>
    <w:rsid w:val="00F93492"/>
    <w:rsid w:val="01505F15"/>
    <w:rsid w:val="023D0B8F"/>
    <w:rsid w:val="023D688F"/>
    <w:rsid w:val="028C11CF"/>
    <w:rsid w:val="02E60833"/>
    <w:rsid w:val="02FA6547"/>
    <w:rsid w:val="033E3663"/>
    <w:rsid w:val="034976DA"/>
    <w:rsid w:val="039609ED"/>
    <w:rsid w:val="03A56880"/>
    <w:rsid w:val="04177516"/>
    <w:rsid w:val="043974F7"/>
    <w:rsid w:val="048A306B"/>
    <w:rsid w:val="04B417A7"/>
    <w:rsid w:val="05393890"/>
    <w:rsid w:val="063302DF"/>
    <w:rsid w:val="06C31989"/>
    <w:rsid w:val="070F1B50"/>
    <w:rsid w:val="0763443E"/>
    <w:rsid w:val="07DC6755"/>
    <w:rsid w:val="08C246E3"/>
    <w:rsid w:val="09413E70"/>
    <w:rsid w:val="0A3C7B7B"/>
    <w:rsid w:val="0A747F7E"/>
    <w:rsid w:val="0A965185"/>
    <w:rsid w:val="0B1331D3"/>
    <w:rsid w:val="0BF62C3A"/>
    <w:rsid w:val="0C70555D"/>
    <w:rsid w:val="0C7A7478"/>
    <w:rsid w:val="0C86205C"/>
    <w:rsid w:val="0D8532D3"/>
    <w:rsid w:val="0D9F26FE"/>
    <w:rsid w:val="0EB2020F"/>
    <w:rsid w:val="100B5E29"/>
    <w:rsid w:val="106663B4"/>
    <w:rsid w:val="116B3C90"/>
    <w:rsid w:val="11D152D0"/>
    <w:rsid w:val="1224590A"/>
    <w:rsid w:val="13086650"/>
    <w:rsid w:val="132C67E2"/>
    <w:rsid w:val="13356A5C"/>
    <w:rsid w:val="1340502B"/>
    <w:rsid w:val="142E05AF"/>
    <w:rsid w:val="14397409"/>
    <w:rsid w:val="14685ADC"/>
    <w:rsid w:val="147C10A3"/>
    <w:rsid w:val="14BE2C76"/>
    <w:rsid w:val="151C32A8"/>
    <w:rsid w:val="156F0C08"/>
    <w:rsid w:val="157E0E4B"/>
    <w:rsid w:val="15C50828"/>
    <w:rsid w:val="15DA3689"/>
    <w:rsid w:val="16546478"/>
    <w:rsid w:val="16976FEE"/>
    <w:rsid w:val="17957A88"/>
    <w:rsid w:val="18407ED4"/>
    <w:rsid w:val="18DC4807"/>
    <w:rsid w:val="18EE7D2A"/>
    <w:rsid w:val="1A1324AA"/>
    <w:rsid w:val="1AA610E2"/>
    <w:rsid w:val="1BCF7740"/>
    <w:rsid w:val="1C46388C"/>
    <w:rsid w:val="1C485EE4"/>
    <w:rsid w:val="1C6F14EE"/>
    <w:rsid w:val="1C985D69"/>
    <w:rsid w:val="1D0D7819"/>
    <w:rsid w:val="1DEA52D0"/>
    <w:rsid w:val="1E08111F"/>
    <w:rsid w:val="1E0C793C"/>
    <w:rsid w:val="1E6F1215"/>
    <w:rsid w:val="1EC65D3D"/>
    <w:rsid w:val="1ECB3294"/>
    <w:rsid w:val="1ECF44C6"/>
    <w:rsid w:val="1F1E4CB0"/>
    <w:rsid w:val="1F4153C3"/>
    <w:rsid w:val="20C24552"/>
    <w:rsid w:val="20C53DD2"/>
    <w:rsid w:val="214D75A4"/>
    <w:rsid w:val="21674E89"/>
    <w:rsid w:val="224707C2"/>
    <w:rsid w:val="224F429B"/>
    <w:rsid w:val="22806203"/>
    <w:rsid w:val="22AF7734"/>
    <w:rsid w:val="22C91529"/>
    <w:rsid w:val="23D42CAA"/>
    <w:rsid w:val="246456B0"/>
    <w:rsid w:val="257B0F03"/>
    <w:rsid w:val="2593449F"/>
    <w:rsid w:val="25CB009A"/>
    <w:rsid w:val="25E44CFA"/>
    <w:rsid w:val="25E9620B"/>
    <w:rsid w:val="26021AF5"/>
    <w:rsid w:val="275C46E7"/>
    <w:rsid w:val="27802801"/>
    <w:rsid w:val="27B64475"/>
    <w:rsid w:val="27E1252C"/>
    <w:rsid w:val="28C50112"/>
    <w:rsid w:val="28D252DE"/>
    <w:rsid w:val="2A13795C"/>
    <w:rsid w:val="2A582D40"/>
    <w:rsid w:val="2AC31382"/>
    <w:rsid w:val="2C4C55F8"/>
    <w:rsid w:val="2C844B41"/>
    <w:rsid w:val="2CD05FD9"/>
    <w:rsid w:val="2D2038EE"/>
    <w:rsid w:val="2D226DC6"/>
    <w:rsid w:val="2DAD44B7"/>
    <w:rsid w:val="2DC86AF6"/>
    <w:rsid w:val="2DF95006"/>
    <w:rsid w:val="2EC41B6D"/>
    <w:rsid w:val="2F180323"/>
    <w:rsid w:val="2F1877C3"/>
    <w:rsid w:val="2FEA115F"/>
    <w:rsid w:val="303D1BD7"/>
    <w:rsid w:val="304231DA"/>
    <w:rsid w:val="30620078"/>
    <w:rsid w:val="3072568A"/>
    <w:rsid w:val="30AE3EC3"/>
    <w:rsid w:val="30F71D86"/>
    <w:rsid w:val="324E00CB"/>
    <w:rsid w:val="32A11B10"/>
    <w:rsid w:val="331876B9"/>
    <w:rsid w:val="335214F5"/>
    <w:rsid w:val="338246ED"/>
    <w:rsid w:val="33EA3113"/>
    <w:rsid w:val="34812EA3"/>
    <w:rsid w:val="35A10338"/>
    <w:rsid w:val="35F66AB0"/>
    <w:rsid w:val="3682306B"/>
    <w:rsid w:val="374053E2"/>
    <w:rsid w:val="38763ED8"/>
    <w:rsid w:val="38960769"/>
    <w:rsid w:val="38C20ECB"/>
    <w:rsid w:val="38C56C0D"/>
    <w:rsid w:val="38E1799D"/>
    <w:rsid w:val="391E1E7A"/>
    <w:rsid w:val="39A405D1"/>
    <w:rsid w:val="39D97124"/>
    <w:rsid w:val="3A860DC1"/>
    <w:rsid w:val="3AA80595"/>
    <w:rsid w:val="3AA81CBA"/>
    <w:rsid w:val="3AF93F40"/>
    <w:rsid w:val="3AFF545B"/>
    <w:rsid w:val="3B25521E"/>
    <w:rsid w:val="3B36794F"/>
    <w:rsid w:val="3B6A1AF5"/>
    <w:rsid w:val="3B6B3A9C"/>
    <w:rsid w:val="3B965B95"/>
    <w:rsid w:val="3BC66F24"/>
    <w:rsid w:val="3BD01B51"/>
    <w:rsid w:val="3CBB5A4F"/>
    <w:rsid w:val="3CD71855"/>
    <w:rsid w:val="3CE04016"/>
    <w:rsid w:val="3E98745F"/>
    <w:rsid w:val="3EF115E1"/>
    <w:rsid w:val="3EFC5719"/>
    <w:rsid w:val="3F077507"/>
    <w:rsid w:val="3F650802"/>
    <w:rsid w:val="406C41C5"/>
    <w:rsid w:val="40796BE7"/>
    <w:rsid w:val="40A8045D"/>
    <w:rsid w:val="41B26322"/>
    <w:rsid w:val="429F402B"/>
    <w:rsid w:val="42B314E1"/>
    <w:rsid w:val="42B42E81"/>
    <w:rsid w:val="42CF2B62"/>
    <w:rsid w:val="42D815F4"/>
    <w:rsid w:val="43D20006"/>
    <w:rsid w:val="43DE004D"/>
    <w:rsid w:val="448C37A5"/>
    <w:rsid w:val="44C164DB"/>
    <w:rsid w:val="44E86170"/>
    <w:rsid w:val="455A06DD"/>
    <w:rsid w:val="458808C7"/>
    <w:rsid w:val="45B81291"/>
    <w:rsid w:val="45E306D3"/>
    <w:rsid w:val="461A1035"/>
    <w:rsid w:val="46340F2E"/>
    <w:rsid w:val="464C07A8"/>
    <w:rsid w:val="46F25071"/>
    <w:rsid w:val="47A10846"/>
    <w:rsid w:val="4B5E2899"/>
    <w:rsid w:val="4B8E52B1"/>
    <w:rsid w:val="4BFC604B"/>
    <w:rsid w:val="4CB56145"/>
    <w:rsid w:val="4DDC6134"/>
    <w:rsid w:val="4E8C5DAC"/>
    <w:rsid w:val="4EDE2869"/>
    <w:rsid w:val="50724B2D"/>
    <w:rsid w:val="50746AF7"/>
    <w:rsid w:val="50FD4D3F"/>
    <w:rsid w:val="52D17DB2"/>
    <w:rsid w:val="52FB501D"/>
    <w:rsid w:val="53193986"/>
    <w:rsid w:val="53331C8C"/>
    <w:rsid w:val="534959D8"/>
    <w:rsid w:val="535A604B"/>
    <w:rsid w:val="53650979"/>
    <w:rsid w:val="555D2250"/>
    <w:rsid w:val="55823A64"/>
    <w:rsid w:val="55872E29"/>
    <w:rsid w:val="55CC31C1"/>
    <w:rsid w:val="55E02539"/>
    <w:rsid w:val="56F75D8C"/>
    <w:rsid w:val="57517B92"/>
    <w:rsid w:val="576527EF"/>
    <w:rsid w:val="57AC6B77"/>
    <w:rsid w:val="57B45F9C"/>
    <w:rsid w:val="57C45237"/>
    <w:rsid w:val="580E7831"/>
    <w:rsid w:val="589C6BEB"/>
    <w:rsid w:val="58EF2D91"/>
    <w:rsid w:val="59AD19D2"/>
    <w:rsid w:val="5A1216A6"/>
    <w:rsid w:val="5A495200"/>
    <w:rsid w:val="5A8E07B6"/>
    <w:rsid w:val="5AC13D02"/>
    <w:rsid w:val="5B0D5B7E"/>
    <w:rsid w:val="5B8D4F11"/>
    <w:rsid w:val="5BF47BAB"/>
    <w:rsid w:val="5C2018E1"/>
    <w:rsid w:val="5CBF559E"/>
    <w:rsid w:val="5CDD5A24"/>
    <w:rsid w:val="5E6C52B2"/>
    <w:rsid w:val="5EAB25AF"/>
    <w:rsid w:val="5F4E49B7"/>
    <w:rsid w:val="5F685387"/>
    <w:rsid w:val="601B0D3D"/>
    <w:rsid w:val="60BD1DF5"/>
    <w:rsid w:val="61645BDA"/>
    <w:rsid w:val="62540537"/>
    <w:rsid w:val="626951D9"/>
    <w:rsid w:val="62730F97"/>
    <w:rsid w:val="62C94ADE"/>
    <w:rsid w:val="631A352E"/>
    <w:rsid w:val="63320DB4"/>
    <w:rsid w:val="635A29F5"/>
    <w:rsid w:val="63950E07"/>
    <w:rsid w:val="64E536C8"/>
    <w:rsid w:val="651959E8"/>
    <w:rsid w:val="654E3F8B"/>
    <w:rsid w:val="65554CF2"/>
    <w:rsid w:val="65960E66"/>
    <w:rsid w:val="65AD68DC"/>
    <w:rsid w:val="679A546A"/>
    <w:rsid w:val="686314D3"/>
    <w:rsid w:val="68C66268"/>
    <w:rsid w:val="68DC2549"/>
    <w:rsid w:val="68E1064A"/>
    <w:rsid w:val="68EF39C7"/>
    <w:rsid w:val="699456BD"/>
    <w:rsid w:val="699E3CA0"/>
    <w:rsid w:val="69BD3298"/>
    <w:rsid w:val="6A1F7989"/>
    <w:rsid w:val="6A427C3F"/>
    <w:rsid w:val="6A4B0471"/>
    <w:rsid w:val="6ABD6C0D"/>
    <w:rsid w:val="6ACD0E86"/>
    <w:rsid w:val="6B1A6611"/>
    <w:rsid w:val="6CA259F3"/>
    <w:rsid w:val="6CB84019"/>
    <w:rsid w:val="6CF9502E"/>
    <w:rsid w:val="6D664D2A"/>
    <w:rsid w:val="6D9D6558"/>
    <w:rsid w:val="6E196E97"/>
    <w:rsid w:val="6E1A533F"/>
    <w:rsid w:val="6E7A040C"/>
    <w:rsid w:val="6F1C2CD1"/>
    <w:rsid w:val="6FAC3760"/>
    <w:rsid w:val="6FFF2007"/>
    <w:rsid w:val="70E1405A"/>
    <w:rsid w:val="711772FF"/>
    <w:rsid w:val="71686AF7"/>
    <w:rsid w:val="716B6BD9"/>
    <w:rsid w:val="72125A7B"/>
    <w:rsid w:val="723330BF"/>
    <w:rsid w:val="725105EF"/>
    <w:rsid w:val="72F53670"/>
    <w:rsid w:val="7302172E"/>
    <w:rsid w:val="7303644A"/>
    <w:rsid w:val="734C0DB6"/>
    <w:rsid w:val="73974727"/>
    <w:rsid w:val="73A97986"/>
    <w:rsid w:val="73FB78CF"/>
    <w:rsid w:val="76452218"/>
    <w:rsid w:val="76622619"/>
    <w:rsid w:val="767F1090"/>
    <w:rsid w:val="7715608F"/>
    <w:rsid w:val="772C513A"/>
    <w:rsid w:val="77784870"/>
    <w:rsid w:val="77CB17B3"/>
    <w:rsid w:val="77D82591"/>
    <w:rsid w:val="77DA4BE2"/>
    <w:rsid w:val="784A5B52"/>
    <w:rsid w:val="784A7FBA"/>
    <w:rsid w:val="78EE0759"/>
    <w:rsid w:val="79D07E61"/>
    <w:rsid w:val="79EE63D4"/>
    <w:rsid w:val="7A7356E6"/>
    <w:rsid w:val="7AAA7DE1"/>
    <w:rsid w:val="7AC425CE"/>
    <w:rsid w:val="7AF53088"/>
    <w:rsid w:val="7C0C49F2"/>
    <w:rsid w:val="7C52702C"/>
    <w:rsid w:val="7C6E6335"/>
    <w:rsid w:val="7C914409"/>
    <w:rsid w:val="7C981003"/>
    <w:rsid w:val="7D3F662B"/>
    <w:rsid w:val="7D7F1915"/>
    <w:rsid w:val="7D8978C5"/>
    <w:rsid w:val="7DF27BFA"/>
    <w:rsid w:val="7FFC1E5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8" w:uiPriority="39" w:qFormat="1"/>
    <w:lsdException w:name="header" w:qFormat="1"/>
    <w:lsdException w:name="footer" w:qFormat="1"/>
    <w:lsdException w:name="caption" w:semiHidden="1" w:unhideWhenUsed="1" w:qFormat="1"/>
    <w:lsdException w:name="envelope return" w:qFormat="1"/>
    <w:lsdException w:name="Title" w:qFormat="1"/>
    <w:lsdException w:name="Default Paragraph Font" w:semiHidden="1" w:qFormat="1"/>
    <w:lsdException w:name="Body Text Indent" w:qFormat="1"/>
    <w:lsdException w:name="Subtitle" w:qFormat="1"/>
    <w:lsdException w:name="Body Text First Indent 2"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2"/>
    <w:qFormat/>
    <w:rsid w:val="00D46C6A"/>
    <w:pPr>
      <w:widowControl w:val="0"/>
      <w:spacing w:line="520" w:lineRule="exact"/>
      <w:ind w:firstLineChars="200" w:firstLine="200"/>
      <w:jc w:val="both"/>
    </w:pPr>
    <w:rPr>
      <w:rFonts w:cs="宋体"/>
      <w:kern w:val="2"/>
      <w:sz w:val="24"/>
      <w:szCs w:val="22"/>
    </w:rPr>
  </w:style>
  <w:style w:type="paragraph" w:styleId="1">
    <w:name w:val="heading 1"/>
    <w:basedOn w:val="a"/>
    <w:next w:val="a"/>
    <w:qFormat/>
    <w:rsid w:val="00D46C6A"/>
    <w:pPr>
      <w:keepNext/>
      <w:keepLines/>
      <w:spacing w:line="240" w:lineRule="auto"/>
      <w:ind w:firstLineChars="0" w:firstLine="0"/>
      <w:jc w:val="center"/>
      <w:outlineLvl w:val="0"/>
    </w:pPr>
    <w:rPr>
      <w:rFonts w:ascii="仿宋" w:eastAsia="方正黑体_GBK" w:hAnsi="仿宋" w:cs="仿宋"/>
      <w:bCs/>
      <w:kern w:val="44"/>
      <w:sz w:val="32"/>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qFormat/>
    <w:rsid w:val="00D46C6A"/>
    <w:pPr>
      <w:spacing w:after="120"/>
      <w:ind w:firstLine="420"/>
    </w:pPr>
    <w:rPr>
      <w:rFonts w:eastAsia="Times New Roman" w:cs="Times New Roman" w:hint="eastAsia"/>
      <w:color w:val="000000"/>
      <w:sz w:val="21"/>
      <w:szCs w:val="21"/>
      <w:u w:color="000000"/>
    </w:rPr>
  </w:style>
  <w:style w:type="paragraph" w:styleId="a3">
    <w:name w:val="Body Text Indent"/>
    <w:basedOn w:val="a"/>
    <w:next w:val="a4"/>
    <w:qFormat/>
    <w:rsid w:val="00D46C6A"/>
    <w:pPr>
      <w:ind w:leftChars="200" w:left="420"/>
    </w:pPr>
  </w:style>
  <w:style w:type="paragraph" w:styleId="a4">
    <w:name w:val="envelope return"/>
    <w:basedOn w:val="a"/>
    <w:qFormat/>
    <w:rsid w:val="00D46C6A"/>
    <w:pPr>
      <w:snapToGrid w:val="0"/>
      <w:spacing w:line="360" w:lineRule="auto"/>
    </w:pPr>
    <w:rPr>
      <w:rFonts w:ascii="Arial" w:hAnsi="Arial" w:cs="Arial"/>
      <w:szCs w:val="20"/>
    </w:rPr>
  </w:style>
  <w:style w:type="paragraph" w:styleId="8">
    <w:name w:val="toc 8"/>
    <w:basedOn w:val="a"/>
    <w:next w:val="a"/>
    <w:uiPriority w:val="39"/>
    <w:qFormat/>
    <w:rsid w:val="00D46C6A"/>
    <w:pPr>
      <w:ind w:left="1680"/>
      <w:jc w:val="left"/>
    </w:pPr>
    <w:rPr>
      <w:rFonts w:ascii="Calibri" w:hAnsi="Calibri" w:cs="Calibri"/>
      <w:sz w:val="18"/>
      <w:szCs w:val="18"/>
    </w:rPr>
  </w:style>
  <w:style w:type="paragraph" w:styleId="a5">
    <w:name w:val="footer"/>
    <w:basedOn w:val="a"/>
    <w:qFormat/>
    <w:rsid w:val="00D46C6A"/>
    <w:pPr>
      <w:tabs>
        <w:tab w:val="center" w:pos="4153"/>
        <w:tab w:val="right" w:pos="8306"/>
      </w:tabs>
      <w:snapToGrid w:val="0"/>
      <w:jc w:val="left"/>
    </w:pPr>
    <w:rPr>
      <w:sz w:val="18"/>
    </w:rPr>
  </w:style>
  <w:style w:type="paragraph" w:styleId="a6">
    <w:name w:val="header"/>
    <w:basedOn w:val="a"/>
    <w:qFormat/>
    <w:rsid w:val="00D46C6A"/>
    <w:pPr>
      <w:pBdr>
        <w:top w:val="none" w:sz="0" w:space="1" w:color="auto"/>
        <w:left w:val="none" w:sz="0" w:space="4" w:color="auto"/>
        <w:bottom w:val="none" w:sz="0" w:space="1" w:color="auto"/>
        <w:right w:val="none" w:sz="0" w:space="4" w:color="auto"/>
      </w:pBdr>
      <w:tabs>
        <w:tab w:val="center" w:pos="4153"/>
        <w:tab w:val="right" w:pos="8306"/>
      </w:tabs>
      <w:snapToGrid w:val="0"/>
      <w:spacing w:line="240" w:lineRule="auto"/>
    </w:pPr>
    <w:rPr>
      <w:sz w:val="18"/>
    </w:rPr>
  </w:style>
  <w:style w:type="paragraph" w:styleId="10">
    <w:name w:val="toc 1"/>
    <w:basedOn w:val="a"/>
    <w:next w:val="a"/>
    <w:rsid w:val="00D46C6A"/>
  </w:style>
  <w:style w:type="paragraph" w:styleId="a7">
    <w:name w:val="Normal (Web)"/>
    <w:qFormat/>
    <w:rsid w:val="00D46C6A"/>
    <w:pPr>
      <w:widowControl w:val="0"/>
    </w:pPr>
    <w:rPr>
      <w:rFonts w:eastAsia="Times New Roman" w:hint="eastAsia"/>
      <w:color w:val="000000"/>
      <w:sz w:val="24"/>
      <w:szCs w:val="24"/>
      <w:u w:color="000000"/>
    </w:rPr>
  </w:style>
  <w:style w:type="character" w:styleId="a8">
    <w:name w:val="Strong"/>
    <w:basedOn w:val="a0"/>
    <w:qFormat/>
    <w:rsid w:val="00D46C6A"/>
    <w:rPr>
      <w:b/>
    </w:rPr>
  </w:style>
  <w:style w:type="paragraph" w:customStyle="1" w:styleId="Default">
    <w:name w:val="Default"/>
    <w:next w:val="8"/>
    <w:qFormat/>
    <w:rsid w:val="00D46C6A"/>
    <w:pPr>
      <w:widowControl w:val="0"/>
      <w:jc w:val="both"/>
    </w:pPr>
    <w:rPr>
      <w:rFonts w:eastAsia="Times New Roman" w:hint="eastAsia"/>
      <w:color w:val="000000"/>
      <w:kern w:val="2"/>
      <w:sz w:val="24"/>
      <w:szCs w:val="24"/>
      <w:u w:color="000000"/>
    </w:rPr>
  </w:style>
  <w:style w:type="paragraph" w:customStyle="1" w:styleId="20">
    <w:name w:val="正文2"/>
    <w:basedOn w:val="a"/>
    <w:qFormat/>
    <w:rsid w:val="00D46C6A"/>
    <w:pPr>
      <w:spacing w:line="240" w:lineRule="auto"/>
      <w:ind w:firstLine="643"/>
    </w:pPr>
    <w:rPr>
      <w:rFonts w:ascii="仿宋" w:eastAsia="楷体" w:hAnsi="仿宋" w:cs="仿宋"/>
      <w:sz w:val="21"/>
      <w:szCs w:val="28"/>
    </w:rPr>
  </w:style>
  <w:style w:type="paragraph" w:customStyle="1" w:styleId="a9">
    <w:name w:val="段"/>
    <w:qFormat/>
    <w:rsid w:val="00D46C6A"/>
    <w:pPr>
      <w:autoSpaceDE w:val="0"/>
      <w:autoSpaceDN w:val="0"/>
      <w:ind w:firstLineChars="200" w:firstLine="420"/>
      <w:jc w:val="both"/>
    </w:pPr>
    <w:rPr>
      <w:rFonts w:ascii="宋体"/>
      <w:sz w:val="21"/>
    </w:rPr>
  </w:style>
  <w:style w:type="table" w:customStyle="1" w:styleId="TableNormal">
    <w:name w:val="Table Normal"/>
    <w:qFormat/>
    <w:rsid w:val="00D46C6A"/>
    <w:tblPr>
      <w:tblCellMar>
        <w:top w:w="0" w:type="dxa"/>
        <w:left w:w="0" w:type="dxa"/>
        <w:bottom w:w="0" w:type="dxa"/>
        <w:right w:w="0" w:type="dxa"/>
      </w:tblCellMar>
    </w:tblPr>
  </w:style>
  <w:style w:type="paragraph" w:styleId="aa">
    <w:name w:val="Balloon Text"/>
    <w:basedOn w:val="a"/>
    <w:link w:val="Char"/>
    <w:rsid w:val="004C5726"/>
    <w:pPr>
      <w:spacing w:line="240" w:lineRule="auto"/>
    </w:pPr>
    <w:rPr>
      <w:sz w:val="18"/>
      <w:szCs w:val="18"/>
    </w:rPr>
  </w:style>
  <w:style w:type="character" w:customStyle="1" w:styleId="Char">
    <w:name w:val="批注框文本 Char"/>
    <w:basedOn w:val="a0"/>
    <w:link w:val="aa"/>
    <w:rsid w:val="004C5726"/>
    <w:rPr>
      <w:rFonts w:cs="宋体"/>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12</Pages>
  <Words>760</Words>
  <Characters>4336</Characters>
  <Application>Microsoft Office Word</Application>
  <DocSecurity>0</DocSecurity>
  <Lines>36</Lines>
  <Paragraphs>10</Paragraphs>
  <ScaleCrop>false</ScaleCrop>
  <Company>Sky123.Org</Company>
  <LinksUpToDate>false</LinksUpToDate>
  <CharactersWithSpaces>5086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袁烨</dc:creator>
  <cp:lastModifiedBy>韩涛</cp:lastModifiedBy>
  <cp:revision>14</cp:revision>
  <dcterms:created xsi:type="dcterms:W3CDTF">2025-09-15T01:46:00Z</dcterms:created>
  <dcterms:modified xsi:type="dcterms:W3CDTF">2025-09-18T03:29:00Z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5B02867DF4EF46E7B1CA956714F51D53_13</vt:lpwstr>
  </property>
  <property fmtid="{D5CDD505-2E9C-101B-9397-08002B2CF9AE}" pid="4" name="KSOTemplateDocerSaveRecord">
    <vt:lpwstr>eyJoZGlkIjoiN2YzNjBkOTgyNWQ1YTMxYzM3MzMwNWFiODNmOWIzYWMiLCJ1c2VySWQiOiI0OTc3MjkzNjcifQ==</vt:lpwstr>
  </property>
</Properties>
</file>