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F03" w:rsidRDefault="00AF6F03">
      <w:pPr>
        <w:spacing w:line="579" w:lineRule="exact"/>
        <w:rPr>
          <w:rFonts w:ascii="Times New Roman" w:eastAsia="方正仿宋_GBK" w:hAnsi="Times New Roman" w:cs="Times New Roman"/>
          <w:sz w:val="32"/>
          <w:szCs w:val="20"/>
        </w:rPr>
      </w:pPr>
    </w:p>
    <w:p w:rsidR="00AF6F03" w:rsidRDefault="00050B94">
      <w:pPr>
        <w:widowControl/>
        <w:shd w:val="clear" w:color="auto" w:fill="FFFFFF"/>
        <w:spacing w:line="720" w:lineRule="exact"/>
        <w:jc w:val="center"/>
        <w:rPr>
          <w:rFonts w:ascii="方正小标宋_GBK" w:eastAsia="方正小标宋_GBK" w:hAnsi="方正小标宋_GBK" w:cs="方正小标宋_GBK"/>
          <w:sz w:val="44"/>
          <w:szCs w:val="44"/>
          <w:shd w:val="clear" w:color="auto" w:fill="FFFFFF"/>
        </w:rPr>
      </w:pPr>
      <w:r>
        <w:rPr>
          <w:rFonts w:ascii="方正小标宋_GBK" w:eastAsia="方正小标宋_GBK" w:hAnsi="方正小标宋_GBK" w:cs="方正小标宋_GBK" w:hint="eastAsia"/>
          <w:sz w:val="44"/>
          <w:szCs w:val="44"/>
          <w:shd w:val="clear" w:color="auto" w:fill="FFFFFF"/>
        </w:rPr>
        <w:t>江苏省交通运输行政处罚裁量基准</w:t>
      </w:r>
    </w:p>
    <w:p w:rsidR="00AF6F03" w:rsidRDefault="00050B94">
      <w:pPr>
        <w:widowControl/>
        <w:shd w:val="clear" w:color="auto" w:fill="FFFFFF"/>
        <w:spacing w:line="720" w:lineRule="exact"/>
        <w:jc w:val="center"/>
        <w:rPr>
          <w:rFonts w:ascii="方正楷体_GBK" w:eastAsia="方正楷体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w:t>
      </w:r>
      <w:r w:rsidR="00F308B8">
        <w:rPr>
          <w:rFonts w:ascii="方正楷体_GBK" w:eastAsia="方正楷体_GBK" w:hAnsi="Times New Roman" w:cs="Times New Roman" w:hint="eastAsia"/>
          <w:color w:val="000000"/>
          <w:kern w:val="0"/>
          <w:sz w:val="32"/>
          <w:szCs w:val="32"/>
        </w:rPr>
        <w:t>征求意见</w:t>
      </w:r>
      <w:bookmarkStart w:id="0" w:name="_GoBack"/>
      <w:bookmarkEnd w:id="0"/>
      <w:r>
        <w:rPr>
          <w:rFonts w:ascii="方正楷体_GBK" w:eastAsia="方正楷体_GBK" w:hAnsi="Times New Roman" w:cs="Times New Roman" w:hint="eastAsia"/>
          <w:color w:val="000000"/>
          <w:kern w:val="0"/>
          <w:sz w:val="32"/>
          <w:szCs w:val="32"/>
        </w:rPr>
        <w:t>稿</w:t>
      </w:r>
      <w:r>
        <w:rPr>
          <w:rFonts w:ascii="方正楷体_GBK" w:eastAsia="方正楷体_GBK" w:hAnsi="Times New Roman" w:cs="Times New Roman" w:hint="eastAsia"/>
          <w:color w:val="000000"/>
          <w:kern w:val="0"/>
          <w:sz w:val="32"/>
          <w:szCs w:val="32"/>
        </w:rPr>
        <w:t>）</w:t>
      </w:r>
    </w:p>
    <w:p w:rsidR="00AF6F03" w:rsidRDefault="00050B94">
      <w:pPr>
        <w:spacing w:line="590"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rsidR="00AF6F03" w:rsidRDefault="00050B94">
      <w:pPr>
        <w:spacing w:line="579"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方正黑体_GBK" w:eastAsia="方正黑体_GBK" w:hAnsi="方正黑体_GBK" w:cs="方正黑体_GBK" w:hint="eastAsia"/>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为了规范行使交通运输行政处罚裁量权，促进严格规范公正文明执法，保护公民、法人和其他组织的合法权益，根据《中华人民共和国行政处罚法》《交通运输行政执法程序规定》《国务院办公厅关于进一步规范行政裁量权基准制定和管理工作的意见》</w:t>
      </w:r>
      <w:r>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规定，结合本省实际，制定本基准。</w:t>
      </w:r>
    </w:p>
    <w:p w:rsidR="00AF6F03" w:rsidRDefault="00050B94">
      <w:pPr>
        <w:spacing w:line="579" w:lineRule="exact"/>
        <w:ind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本省各级交通运输行政执法</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依照</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sz w:val="32"/>
          <w:szCs w:val="32"/>
        </w:rPr>
        <w:t>、规章实施行政处罚行使裁量权的，适用本基准。</w:t>
      </w:r>
    </w:p>
    <w:p w:rsidR="00AF6F03" w:rsidRDefault="00050B94">
      <w:pPr>
        <w:spacing w:line="579" w:lineRule="exact"/>
        <w:ind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第三条</w:t>
      </w:r>
      <w:r>
        <w:rPr>
          <w:rFonts w:ascii="方正黑体_GBK" w:eastAsia="方正黑体_GBK" w:hAnsi="方正黑体_GBK" w:cs="方正黑体_GBK" w:hint="eastAsia"/>
          <w:sz w:val="32"/>
          <w:szCs w:val="32"/>
        </w:rPr>
        <w:t xml:space="preserve">  </w:t>
      </w:r>
      <w:r>
        <w:rPr>
          <w:rFonts w:ascii="Times New Roman" w:eastAsia="方正仿宋_GBK" w:hAnsi="Times New Roman" w:cs="Times New Roman"/>
          <w:sz w:val="32"/>
          <w:szCs w:val="32"/>
        </w:rPr>
        <w:t>本基准所称交通运输行政处罚裁量权，是指交通运输行政执法</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实施行政处罚时，依</w:t>
      </w:r>
      <w:r>
        <w:rPr>
          <w:rFonts w:ascii="Times New Roman" w:eastAsia="方正仿宋_GBK" w:hAnsi="Times New Roman" w:cs="Times New Roman" w:hint="eastAsia"/>
          <w:sz w:val="32"/>
          <w:szCs w:val="32"/>
        </w:rPr>
        <w:t>照</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sz w:val="32"/>
          <w:szCs w:val="32"/>
        </w:rPr>
        <w:t>和规章，综合考虑违法行为的事实、性质、情节、危害后果以及当事人主观过错等因素，对是否给予行政处罚</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给予行政处罚的种类、幅度等进行选择的权限。</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交通运输行政执法机构行使行政处罚裁量权，</w:t>
      </w:r>
      <w:r>
        <w:rPr>
          <w:rFonts w:ascii="Times New Roman" w:eastAsia="方正仿宋_GBK" w:hAnsi="Times New Roman" w:cs="Times New Roman"/>
          <w:sz w:val="32"/>
          <w:szCs w:val="32"/>
        </w:rPr>
        <w:t>应当遵循以下原则：</w:t>
      </w:r>
    </w:p>
    <w:p w:rsidR="00AF6F03" w:rsidRDefault="00050B94">
      <w:pPr>
        <w:shd w:val="clear" w:color="auto" w:fill="FFFFFF"/>
        <w:overflowPunct w:val="0"/>
        <w:spacing w:line="579" w:lineRule="exact"/>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（一）公平公正</w:t>
      </w:r>
      <w:r>
        <w:rPr>
          <w:rFonts w:ascii="Times New Roman" w:eastAsia="方正仿宋_GBK" w:hAnsi="Times New Roman" w:cs="Times New Roman" w:hint="eastAsia"/>
          <w:sz w:val="32"/>
          <w:szCs w:val="32"/>
        </w:rPr>
        <w:t>公开</w:t>
      </w:r>
      <w:r>
        <w:rPr>
          <w:rFonts w:ascii="Times New Roman" w:eastAsia="方正仿宋_GBK" w:hAnsi="Times New Roman" w:cs="Times New Roman"/>
          <w:sz w:val="32"/>
          <w:szCs w:val="32"/>
        </w:rPr>
        <w:t>原则</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（二）过</w:t>
      </w:r>
      <w:proofErr w:type="gramStart"/>
      <w:r>
        <w:rPr>
          <w:rFonts w:ascii="Times New Roman" w:eastAsia="方正仿宋_GBK" w:hAnsi="Times New Roman" w:cs="Times New Roman"/>
          <w:sz w:val="32"/>
          <w:szCs w:val="32"/>
        </w:rPr>
        <w:t>罚相当</w:t>
      </w:r>
      <w:proofErr w:type="gramEnd"/>
      <w:r>
        <w:rPr>
          <w:rFonts w:ascii="Times New Roman" w:eastAsia="方正仿宋_GBK" w:hAnsi="Times New Roman" w:cs="Times New Roman"/>
          <w:sz w:val="32"/>
          <w:szCs w:val="32"/>
        </w:rPr>
        <w:t>原则；</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（三）处罚与教育相结合原则；</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（四）程序正当原则；</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（五）综合裁量原则</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省交通运输行政执法机构将行政处罚裁量基准纳入江苏省交通运输综合行政执法管理系统，实行统一管理、动态调整。</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各设区市交通运输</w:t>
      </w:r>
      <w:r>
        <w:rPr>
          <w:rFonts w:ascii="Times New Roman" w:eastAsia="方正仿宋_GBK" w:hAnsi="Times New Roman" w:cs="Times New Roman" w:hint="eastAsia"/>
          <w:sz w:val="32"/>
          <w:szCs w:val="32"/>
        </w:rPr>
        <w:t>主管部门可</w:t>
      </w:r>
      <w:r>
        <w:rPr>
          <w:rFonts w:ascii="Times New Roman" w:eastAsia="方正仿宋_GBK" w:hAnsi="Times New Roman" w:cs="Times New Roman" w:hint="eastAsia"/>
          <w:sz w:val="32"/>
          <w:szCs w:val="32"/>
        </w:rPr>
        <w:t>以</w:t>
      </w:r>
      <w:r>
        <w:rPr>
          <w:rFonts w:ascii="Times New Roman" w:eastAsia="方正仿宋_GBK" w:hAnsi="Times New Roman" w:cs="Times New Roman"/>
          <w:sz w:val="32"/>
          <w:szCs w:val="32"/>
        </w:rPr>
        <w:t>按照本基准规定，结合本地区实际</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制定各设区市交通运输行政处罚裁量基准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报省交通运输主管部门备案</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并根据权限在</w:t>
      </w:r>
      <w:r>
        <w:rPr>
          <w:rFonts w:ascii="Times New Roman" w:eastAsia="方正仿宋_GBK" w:hAnsi="Times New Roman" w:cs="Times New Roman" w:hint="eastAsia"/>
          <w:sz w:val="32"/>
          <w:szCs w:val="32"/>
        </w:rPr>
        <w:t>江苏省交通运输综合行政执法管理系统中进行日常维护。</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交通运输行政处罚裁量基准应当包括违法行为、法定依据、裁量阶次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违法情形和</w:t>
      </w:r>
      <w:r>
        <w:rPr>
          <w:rFonts w:ascii="Times New Roman" w:eastAsia="方正仿宋_GBK" w:hAnsi="Times New Roman" w:cs="Times New Roman" w:hint="eastAsia"/>
          <w:sz w:val="32"/>
          <w:szCs w:val="32"/>
        </w:rPr>
        <w:t>量罚</w:t>
      </w:r>
      <w:r>
        <w:rPr>
          <w:rFonts w:ascii="Times New Roman" w:eastAsia="方正仿宋_GBK" w:hAnsi="Times New Roman" w:cs="Times New Roman"/>
          <w:sz w:val="32"/>
          <w:szCs w:val="32"/>
        </w:rPr>
        <w:t>幅度。</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设定违法情形应当综合考虑以下因素：</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（一）违法行为造成的危害后果</w:t>
      </w:r>
      <w:r>
        <w:rPr>
          <w:rFonts w:ascii="Times New Roman" w:eastAsia="方正仿宋_GBK" w:hAnsi="Times New Roman" w:cs="Times New Roman" w:hint="eastAsia"/>
          <w:sz w:val="32"/>
          <w:szCs w:val="32"/>
        </w:rPr>
        <w:t>、潜在风险、</w:t>
      </w:r>
      <w:r>
        <w:rPr>
          <w:rFonts w:ascii="Times New Roman" w:eastAsia="方正仿宋_GBK" w:hAnsi="Times New Roman" w:cs="Times New Roman"/>
          <w:sz w:val="32"/>
          <w:szCs w:val="32"/>
        </w:rPr>
        <w:t>社会影响程度；</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（二）违法行为当事人的主观过错程度；</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（三）违法行为频次</w:t>
      </w:r>
      <w:r>
        <w:rPr>
          <w:rFonts w:ascii="Times New Roman" w:eastAsia="方正仿宋_GBK" w:hAnsi="Times New Roman" w:cs="Times New Roman" w:hint="eastAsia"/>
          <w:sz w:val="32"/>
          <w:szCs w:val="32"/>
        </w:rPr>
        <w:t>或者</w:t>
      </w:r>
      <w:r>
        <w:rPr>
          <w:rFonts w:ascii="Times New Roman" w:eastAsia="方正仿宋_GBK" w:hAnsi="Times New Roman" w:cs="Times New Roman"/>
          <w:sz w:val="32"/>
          <w:szCs w:val="32"/>
        </w:rPr>
        <w:t>持续时间；</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（四）违法行为的规模</w:t>
      </w:r>
      <w:r>
        <w:rPr>
          <w:rFonts w:ascii="Times New Roman" w:eastAsia="方正仿宋_GBK" w:hAnsi="Times New Roman" w:cs="Times New Roman" w:hint="eastAsia"/>
          <w:sz w:val="32"/>
          <w:szCs w:val="32"/>
        </w:rPr>
        <w:t>或者</w:t>
      </w:r>
      <w:r>
        <w:rPr>
          <w:rFonts w:ascii="Times New Roman" w:eastAsia="方正仿宋_GBK" w:hAnsi="Times New Roman" w:cs="Times New Roman"/>
          <w:sz w:val="32"/>
          <w:szCs w:val="32"/>
        </w:rPr>
        <w:t>涉及的区域范围</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w:t>
      </w:r>
      <w:r>
        <w:rPr>
          <w:rFonts w:ascii="Times New Roman" w:eastAsia="方正仿宋_GBK" w:hAnsi="Times New Roman" w:cs="Times New Roman" w:hint="eastAsia"/>
          <w:sz w:val="32"/>
          <w:szCs w:val="32"/>
        </w:rPr>
        <w:t>违法行为发生地所处的公路、航道等级；</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（六）涉案财物或者违法所得数额</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（七）违法行为当事人的年龄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精神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身体</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信用状况；</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（八）</w:t>
      </w:r>
      <w:r>
        <w:rPr>
          <w:rFonts w:ascii="Times New Roman" w:eastAsia="方正仿宋_GBK" w:hAnsi="Times New Roman" w:cs="Times New Roman"/>
          <w:sz w:val="32"/>
          <w:szCs w:val="32"/>
        </w:rPr>
        <w:t>违法行为</w:t>
      </w:r>
      <w:r>
        <w:rPr>
          <w:rFonts w:ascii="Times New Roman" w:eastAsia="方正仿宋_GBK" w:hAnsi="Times New Roman" w:cs="Times New Roman" w:hint="eastAsia"/>
          <w:sz w:val="32"/>
          <w:szCs w:val="32"/>
        </w:rPr>
        <w:t>改正情况；</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（九）违法行为当事人所采取的行政合规整改措施及效果；</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（十）</w:t>
      </w:r>
      <w:r>
        <w:rPr>
          <w:rFonts w:ascii="Times New Roman" w:eastAsia="方正仿宋_GBK" w:hAnsi="Times New Roman" w:cs="Times New Roman"/>
          <w:sz w:val="32"/>
          <w:szCs w:val="32"/>
        </w:rPr>
        <w:t>地区经济发展水平</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（十一）</w:t>
      </w:r>
      <w:r>
        <w:rPr>
          <w:rFonts w:ascii="Times New Roman" w:eastAsia="方正仿宋_GBK" w:hAnsi="Times New Roman" w:cs="Times New Roman"/>
          <w:sz w:val="32"/>
          <w:szCs w:val="32"/>
        </w:rPr>
        <w:t>其他依法应当考虑的因素。</w:t>
      </w:r>
    </w:p>
    <w:p w:rsidR="00AF6F03" w:rsidRDefault="00050B94">
      <w:pPr>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与违法行为对应的裁量阶次可以分为一般</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较重、严重三个阶次</w:t>
      </w:r>
      <w:r>
        <w:rPr>
          <w:rFonts w:ascii="Times New Roman" w:eastAsia="方正仿宋_GBK" w:hAnsi="Times New Roman" w:cs="Times New Roman" w:hint="eastAsia"/>
          <w:sz w:val="32"/>
          <w:szCs w:val="32"/>
        </w:rPr>
        <w:t>，或者</w:t>
      </w:r>
      <w:r>
        <w:rPr>
          <w:rFonts w:ascii="Times New Roman" w:eastAsia="方正仿宋_GBK" w:hAnsi="Times New Roman" w:cs="Times New Roman"/>
          <w:sz w:val="32"/>
          <w:szCs w:val="32"/>
        </w:rPr>
        <w:t>较轻、一般、较重、严重四个阶次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三个阶次的罚款</w:t>
      </w:r>
      <w:r>
        <w:rPr>
          <w:rFonts w:ascii="Times New Roman" w:eastAsia="方正仿宋_GBK" w:hAnsi="Times New Roman" w:cs="Times New Roman" w:hint="eastAsia"/>
          <w:sz w:val="32"/>
          <w:szCs w:val="32"/>
        </w:rPr>
        <w:t>幅度</w:t>
      </w:r>
      <w:r>
        <w:rPr>
          <w:rFonts w:ascii="Times New Roman" w:eastAsia="方正仿宋_GBK" w:hAnsi="Times New Roman" w:cs="Times New Roman"/>
          <w:sz w:val="32"/>
          <w:szCs w:val="32"/>
        </w:rPr>
        <w:t>分别为罚款数额</w:t>
      </w:r>
      <w:r>
        <w:rPr>
          <w:rFonts w:ascii="Times New Roman" w:eastAsia="方正仿宋_GBK" w:hAnsi="Times New Roman" w:cs="Times New Roman" w:hint="eastAsia"/>
          <w:sz w:val="32"/>
          <w:szCs w:val="32"/>
        </w:rPr>
        <w:t>最低额到</w:t>
      </w:r>
      <w:proofErr w:type="gramStart"/>
      <w:r>
        <w:rPr>
          <w:rFonts w:ascii="Times New Roman" w:eastAsia="方正仿宋_GBK" w:hAnsi="Times New Roman" w:cs="Times New Roman" w:hint="eastAsia"/>
          <w:sz w:val="32"/>
          <w:szCs w:val="32"/>
        </w:rPr>
        <w:t>最</w:t>
      </w:r>
      <w:proofErr w:type="gramEnd"/>
      <w:r>
        <w:rPr>
          <w:rFonts w:ascii="Times New Roman" w:eastAsia="方正仿宋_GBK" w:hAnsi="Times New Roman" w:cs="Times New Roman" w:hint="eastAsia"/>
          <w:sz w:val="32"/>
          <w:szCs w:val="32"/>
        </w:rPr>
        <w:t>高额中</w:t>
      </w:r>
      <w:r>
        <w:rPr>
          <w:rFonts w:ascii="Times New Roman" w:eastAsia="方正仿宋_GBK" w:hAnsi="Times New Roman" w:cs="Times New Roman"/>
          <w:sz w:val="32"/>
          <w:szCs w:val="32"/>
        </w:rPr>
        <w:t>较低的</w:t>
      </w:r>
      <w:r>
        <w:rPr>
          <w:rFonts w:ascii="Times New Roman" w:eastAsia="方正仿宋_GBK" w:hAnsi="Times New Roman" w:cs="Times New Roman" w:hint="eastAsia"/>
          <w:sz w:val="32"/>
          <w:szCs w:val="32"/>
        </w:rPr>
        <w:t>30%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30%</w:t>
      </w:r>
      <w:r>
        <w:rPr>
          <w:rFonts w:ascii="Times New Roman" w:eastAsia="方正仿宋_GBK" w:hAnsi="Times New Roman" w:cs="Times New Roman" w:hint="eastAsia"/>
          <w:sz w:val="32"/>
          <w:szCs w:val="32"/>
        </w:rPr>
        <w:t>至</w:t>
      </w:r>
      <w:r>
        <w:rPr>
          <w:rFonts w:ascii="Times New Roman" w:eastAsia="方正仿宋_GBK" w:hAnsi="Times New Roman" w:cs="Times New Roman" w:hint="eastAsia"/>
          <w:sz w:val="32"/>
          <w:szCs w:val="32"/>
        </w:rPr>
        <w:t>70%</w:t>
      </w:r>
      <w:r>
        <w:rPr>
          <w:rFonts w:ascii="Times New Roman" w:eastAsia="方正仿宋_GBK" w:hAnsi="Times New Roman" w:cs="Times New Roman" w:hint="eastAsia"/>
          <w:sz w:val="32"/>
          <w:szCs w:val="32"/>
        </w:rPr>
        <w:t>和较高的</w:t>
      </w:r>
      <w:r>
        <w:rPr>
          <w:rFonts w:ascii="Times New Roman" w:eastAsia="方正仿宋_GBK" w:hAnsi="Times New Roman" w:cs="Times New Roman" w:hint="eastAsia"/>
          <w:sz w:val="32"/>
          <w:szCs w:val="32"/>
        </w:rPr>
        <w:t>30%</w:t>
      </w:r>
      <w:r>
        <w:rPr>
          <w:rFonts w:ascii="Times New Roman" w:eastAsia="方正仿宋_GBK" w:hAnsi="Times New Roman" w:cs="Times New Roman" w:hint="eastAsia"/>
          <w:sz w:val="32"/>
          <w:szCs w:val="32"/>
        </w:rPr>
        <w:t>部分；四个阶次的罚款幅度分别为</w:t>
      </w:r>
      <w:r>
        <w:rPr>
          <w:rFonts w:ascii="Times New Roman" w:eastAsia="方正仿宋_GBK" w:hAnsi="Times New Roman" w:cs="Times New Roman"/>
          <w:sz w:val="32"/>
          <w:szCs w:val="32"/>
        </w:rPr>
        <w:t>罚款数额</w:t>
      </w:r>
      <w:r>
        <w:rPr>
          <w:rFonts w:ascii="Times New Roman" w:eastAsia="方正仿宋_GBK" w:hAnsi="Times New Roman" w:cs="Times New Roman" w:hint="eastAsia"/>
          <w:sz w:val="32"/>
          <w:szCs w:val="32"/>
        </w:rPr>
        <w:t>最低额到</w:t>
      </w:r>
      <w:proofErr w:type="gramStart"/>
      <w:r>
        <w:rPr>
          <w:rFonts w:ascii="Times New Roman" w:eastAsia="方正仿宋_GBK" w:hAnsi="Times New Roman" w:cs="Times New Roman" w:hint="eastAsia"/>
          <w:sz w:val="32"/>
          <w:szCs w:val="32"/>
        </w:rPr>
        <w:t>最</w:t>
      </w:r>
      <w:proofErr w:type="gramEnd"/>
      <w:r>
        <w:rPr>
          <w:rFonts w:ascii="Times New Roman" w:eastAsia="方正仿宋_GBK" w:hAnsi="Times New Roman" w:cs="Times New Roman" w:hint="eastAsia"/>
          <w:sz w:val="32"/>
          <w:szCs w:val="32"/>
        </w:rPr>
        <w:t>高额中较低的</w:t>
      </w:r>
      <w:r>
        <w:rPr>
          <w:rFonts w:ascii="Times New Roman" w:eastAsia="方正仿宋_GBK" w:hAnsi="Times New Roman" w:cs="Times New Roman" w:hint="eastAsia"/>
          <w:sz w:val="32"/>
          <w:szCs w:val="32"/>
        </w:rPr>
        <w:t>25%</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25%</w:t>
      </w:r>
      <w:r>
        <w:rPr>
          <w:rFonts w:ascii="Times New Roman" w:eastAsia="方正仿宋_GBK" w:hAnsi="Times New Roman" w:cs="Times New Roman" w:hint="eastAsia"/>
          <w:sz w:val="32"/>
          <w:szCs w:val="32"/>
        </w:rPr>
        <w:t>至</w:t>
      </w:r>
      <w:r>
        <w:rPr>
          <w:rFonts w:ascii="Times New Roman" w:eastAsia="方正仿宋_GBK" w:hAnsi="Times New Roman" w:cs="Times New Roman" w:hint="eastAsia"/>
          <w:sz w:val="32"/>
          <w:szCs w:val="32"/>
        </w:rPr>
        <w:t>50%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50%</w:t>
      </w:r>
      <w:r>
        <w:rPr>
          <w:rFonts w:ascii="Times New Roman" w:eastAsia="方正仿宋_GBK" w:hAnsi="Times New Roman" w:cs="Times New Roman" w:hint="eastAsia"/>
          <w:sz w:val="32"/>
          <w:szCs w:val="32"/>
        </w:rPr>
        <w:t>至</w:t>
      </w:r>
      <w:r>
        <w:rPr>
          <w:rFonts w:ascii="Times New Roman" w:eastAsia="方正仿宋_GBK" w:hAnsi="Times New Roman" w:cs="Times New Roman" w:hint="eastAsia"/>
          <w:sz w:val="32"/>
          <w:szCs w:val="32"/>
        </w:rPr>
        <w:t>70%</w:t>
      </w:r>
      <w:r>
        <w:rPr>
          <w:rFonts w:ascii="Times New Roman" w:eastAsia="方正仿宋_GBK" w:hAnsi="Times New Roman" w:cs="Times New Roman" w:hint="eastAsia"/>
          <w:sz w:val="32"/>
          <w:szCs w:val="32"/>
        </w:rPr>
        <w:t>和较高的</w:t>
      </w:r>
      <w:r>
        <w:rPr>
          <w:rFonts w:ascii="Times New Roman" w:eastAsia="方正仿宋_GBK" w:hAnsi="Times New Roman" w:cs="Times New Roman" w:hint="eastAsia"/>
          <w:sz w:val="32"/>
          <w:szCs w:val="32"/>
        </w:rPr>
        <w:t>25%</w:t>
      </w:r>
      <w:r>
        <w:rPr>
          <w:rFonts w:ascii="Times New Roman" w:eastAsia="方正仿宋_GBK" w:hAnsi="Times New Roman" w:cs="Times New Roman" w:hint="eastAsia"/>
          <w:sz w:val="32"/>
          <w:szCs w:val="32"/>
        </w:rPr>
        <w:t>部分。罚款数额为一定金额的倍数的，参照上述方法计算。</w:t>
      </w:r>
    </w:p>
    <w:p w:rsidR="00AF6F03" w:rsidRDefault="00050B94">
      <w:pPr>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《江苏省交通运输常见行政处罚事项裁量基准表（</w:t>
      </w:r>
      <w:r>
        <w:rPr>
          <w:rFonts w:ascii="Times New Roman" w:eastAsia="方正仿宋_GBK" w:hAnsi="Times New Roman" w:cs="Times New Roman" w:hint="eastAsia"/>
          <w:sz w:val="32"/>
          <w:szCs w:val="32"/>
        </w:rPr>
        <w:t>2024</w:t>
      </w:r>
      <w:r>
        <w:rPr>
          <w:rFonts w:ascii="Times New Roman" w:eastAsia="方正仿宋_GBK" w:hAnsi="Times New Roman" w:cs="Times New Roman" w:hint="eastAsia"/>
          <w:sz w:val="32"/>
          <w:szCs w:val="32"/>
        </w:rPr>
        <w:t>版）》中已列明的行政处罚事项按照规定执行，未列明的行政处罚事项根据上述原则进行裁量。</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第七条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同一个违法行为违反不同</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hint="eastAsia"/>
          <w:sz w:val="32"/>
          <w:szCs w:val="32"/>
        </w:rPr>
        <w:t>和规章规定的，在适用具体规定时应当遵循下列原则：</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（一）法律效力高的规定优先适用；</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（二）法律效力相同，属于特别规定的优先适用；</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（三）法律效力相同，生效时间在后的优先适用。</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第八条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hint="eastAsia"/>
          <w:sz w:val="32"/>
          <w:szCs w:val="32"/>
        </w:rPr>
        <w:t>和规章规定的</w:t>
      </w:r>
      <w:r>
        <w:rPr>
          <w:rFonts w:ascii="Times New Roman" w:eastAsia="方正仿宋_GBK" w:hAnsi="Times New Roman" w:cs="Times New Roman" w:hint="eastAsia"/>
          <w:sz w:val="32"/>
          <w:szCs w:val="32"/>
        </w:rPr>
        <w:t>处罚种类可以单处或者并处的，可以选择适用；规定应当并处的，不得选择适用。</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法律法规</w:t>
      </w:r>
      <w:r>
        <w:rPr>
          <w:rFonts w:ascii="Times New Roman" w:eastAsia="方正仿宋_GBK" w:hAnsi="Times New Roman" w:cs="Times New Roman" w:hint="eastAsia"/>
          <w:sz w:val="32"/>
          <w:szCs w:val="32"/>
        </w:rPr>
        <w:t>和规章规定的多种处罚应当并处的，不得选择适用；规定可以并处的，可以选择适用。</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第九条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当事人同一违法行为违反两个以上法律规范或者同一法律规范两个以上条款应当给予罚款处罚的，按照罚款数额高的规定处罚。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有两种以上违法行为，没有牵连关系的，应当分别裁量，合并处罚；有牵连关系的，适用吸收原则，选择较重的违法行为从重处罚。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不予行政处罚，是指因法定原因对特定违法行为不给予行政处罚。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从轻行政处罚，是指在依法可以选择的处罚种</w:t>
      </w:r>
      <w:r>
        <w:rPr>
          <w:rFonts w:ascii="Times New Roman" w:eastAsia="方正仿宋_GBK" w:hAnsi="Times New Roman" w:cs="Times New Roman" w:hint="eastAsia"/>
          <w:sz w:val="32"/>
          <w:szCs w:val="32"/>
        </w:rPr>
        <w:t>类和处罚幅度内，适用较轻、较少的处罚种类，或者较低的处罚幅度。</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从重行政处罚，是指在依法可以选择的处罚种类和处罚幅度内，适用较重、较多的处罚种类，或者较高的处罚幅度。</w:t>
      </w:r>
      <w:r>
        <w:rPr>
          <w:rFonts w:ascii="Times New Roman" w:eastAsia="方正仿宋_GBK" w:hAnsi="Times New Roman" w:cs="Times New Roman"/>
          <w:sz w:val="32"/>
          <w:szCs w:val="32"/>
        </w:rPr>
        <w:t xml:space="preserve"> </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减轻行政处罚，是指适用法定行政处罚最低限度以下的处罚种类或者处罚幅度。包括在违法行为应当受到的一种或者几种处罚种类之外选择更轻的处罚种类；或者在应当并处时不并处；或者在法定最低罚款限值以下确定罚款数额，但不得低于最低限值的</w:t>
      </w:r>
      <w:r>
        <w:rPr>
          <w:rFonts w:ascii="Times New Roman" w:eastAsia="方正仿宋_GBK" w:hAnsi="Times New Roman" w:cs="Times New Roman" w:hint="eastAsia"/>
          <w:sz w:val="32"/>
          <w:szCs w:val="32"/>
        </w:rPr>
        <w:t>20%</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第十一条</w:t>
      </w:r>
      <w:r>
        <w:rPr>
          <w:rFonts w:ascii="方正黑体_GBK" w:eastAsia="方正黑体_GBK" w:hAnsi="Times New Roman" w:cs="Times New Roman" w:hint="eastAsia"/>
          <w:sz w:val="32"/>
          <w:szCs w:val="32"/>
        </w:rPr>
        <w:t xml:space="preserve"> </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当事人有下列情形之一的，依法不予行政处罚：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（一）证据不足，违法事实不能成立的；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（二）不满十四周岁的未成年人有违法行为的；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（三）精神病人、智力残疾人在不能辨认或者不能控制自己行为时有违法行为的；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（四）违法行为轻微并及时改正，没有造成危害后果的；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（五）除法律、行政法规另有规定的外，当事人有证据足以证明没有主观过错的；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（六）其他依法应当不予行政处罚的。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初次违法且危害后果轻微并及时改正的，可以不予行政处罚。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第十二条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当事人有下列情形之一的，应当依法从轻或者减轻行政处罚：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（一）已满十四周岁不满十八周岁的未成年人有违法行为的；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（二）主动消除或者减轻违法行为危害后果的；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（三）受他人胁迫或者诱骗实施违法行为的；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（四）主动供述交通运输执法</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尚未掌握的违法行为的；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（五）配合交通运输执法</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查处违法行为有立功表现的；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（五）其他依法应当从轻或者减轻行政处罚的。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color w:val="FF0000"/>
          <w:sz w:val="32"/>
          <w:szCs w:val="32"/>
        </w:rPr>
      </w:pPr>
      <w:r>
        <w:rPr>
          <w:rFonts w:ascii="方正黑体_GBK" w:eastAsia="方正黑体_GBK" w:hAnsi="方正黑体_GBK" w:cs="方正黑体_GBK" w:hint="eastAsia"/>
          <w:sz w:val="32"/>
          <w:szCs w:val="32"/>
        </w:rPr>
        <w:t>第十三条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当事人有下列情形之一的，可以依法从轻或者减轻行政处罚：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（一）违法行为轻微，社会危害性较小的；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（二）积极采取改正措施</w:t>
      </w:r>
      <w:r>
        <w:rPr>
          <w:rFonts w:ascii="Times New Roman" w:eastAsia="方正仿宋_GBK" w:hAnsi="Times New Roman" w:cs="Times New Roman" w:hint="eastAsia"/>
          <w:sz w:val="32"/>
          <w:szCs w:val="32"/>
        </w:rPr>
        <w:t>或者减轻危害后果的；</w:t>
      </w:r>
      <w:r>
        <w:rPr>
          <w:rFonts w:ascii="Times New Roman" w:eastAsia="方正仿宋_GBK" w:hAnsi="Times New Roman" w:cs="Times New Roman"/>
          <w:sz w:val="32"/>
          <w:szCs w:val="32"/>
        </w:rPr>
        <w:t xml:space="preserve"> </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（三）在共同违法行为中起次要或者辅助作用的；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（四）配合执法</w:t>
      </w:r>
      <w:r>
        <w:rPr>
          <w:rFonts w:ascii="Times New Roman" w:eastAsia="方正仿宋_GBK" w:hAnsi="Times New Roman" w:cs="Times New Roman" w:hint="eastAsia"/>
          <w:sz w:val="32"/>
          <w:szCs w:val="32"/>
        </w:rPr>
        <w:t>机构</w:t>
      </w:r>
      <w:r>
        <w:rPr>
          <w:rFonts w:ascii="Times New Roman" w:eastAsia="方正仿宋_GBK" w:hAnsi="Times New Roman" w:cs="Times New Roman"/>
          <w:sz w:val="32"/>
          <w:szCs w:val="32"/>
        </w:rPr>
        <w:t>调查，如实陈述违法事实并主动提供主要证据材料的；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w:t>
      </w:r>
      <w:r>
        <w:rPr>
          <w:rFonts w:ascii="Times New Roman" w:eastAsia="方正仿宋_GBK" w:hAnsi="Times New Roman" w:cs="Times New Roman" w:hint="eastAsia"/>
          <w:sz w:val="32"/>
          <w:szCs w:val="32"/>
        </w:rPr>
        <w:t>尚未完全丧失辨认或者控制自己行为能力的精神病</w:t>
      </w:r>
      <w:r>
        <w:rPr>
          <w:rFonts w:ascii="Times New Roman" w:eastAsia="方正仿宋_GBK" w:hAnsi="Times New Roman" w:cs="Times New Roman" w:hint="eastAsia"/>
          <w:sz w:val="32"/>
          <w:szCs w:val="32"/>
        </w:rPr>
        <w:t>人、智力残疾人有违法行为的；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（六）被列入交通运输守法</w:t>
      </w:r>
      <w:r>
        <w:rPr>
          <w:rFonts w:ascii="Times New Roman" w:eastAsia="方正仿宋_GBK" w:hAnsi="Times New Roman" w:cs="Times New Roman" w:hint="eastAsia"/>
          <w:sz w:val="32"/>
          <w:szCs w:val="32"/>
        </w:rPr>
        <w:t>激励</w:t>
      </w:r>
      <w:r>
        <w:rPr>
          <w:rFonts w:ascii="Times New Roman" w:eastAsia="方正仿宋_GBK" w:hAnsi="Times New Roman" w:cs="Times New Roman"/>
          <w:sz w:val="32"/>
          <w:szCs w:val="32"/>
        </w:rPr>
        <w:t>主体名单</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初次违法的；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（七）</w:t>
      </w:r>
      <w:r>
        <w:rPr>
          <w:rFonts w:ascii="Times New Roman" w:eastAsia="方正仿宋_GBK" w:hAnsi="Times New Roman" w:cs="Times New Roman"/>
          <w:sz w:val="32"/>
          <w:szCs w:val="32"/>
        </w:rPr>
        <w:t>其他依法可以从轻或者减轻行政处罚的。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当事人有下列情形之一的，可以依法从重行政处罚：</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（一）违法行为造成他人人身伤亡</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重大财产损失</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环境污染等严重危害后果的；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（二）在共同违法行为中起主要作用的；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（三）教唆</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胁迫或者诱骗他人实施违法行为的；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w:t>
      </w:r>
      <w:r>
        <w:rPr>
          <w:rFonts w:ascii="Times New Roman" w:eastAsia="方正仿宋_GBK" w:hAnsi="Times New Roman" w:cs="Times New Roman" w:hint="eastAsia"/>
          <w:sz w:val="32"/>
          <w:szCs w:val="32"/>
        </w:rPr>
        <w:t>因同一性质的违法行为受过刑事处罚，</w:t>
      </w:r>
      <w:r>
        <w:rPr>
          <w:rFonts w:ascii="Times New Roman" w:eastAsia="方正仿宋_GBK" w:hAnsi="Times New Roman" w:cs="Times New Roman"/>
          <w:sz w:val="32"/>
          <w:szCs w:val="32"/>
        </w:rPr>
        <w:t>或者一年内因同一性质的违法行为受过行政处罚的；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（五）阻碍或者拒不配合执法人员依法执行职务或者对证人、投诉人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举报人、执法人员打击报复的；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w:t>
      </w:r>
      <w:r>
        <w:rPr>
          <w:rFonts w:ascii="Times New Roman" w:eastAsia="方正仿宋_GBK" w:hAnsi="Times New Roman" w:cs="Times New Roman" w:hint="eastAsia"/>
          <w:sz w:val="32"/>
          <w:szCs w:val="32"/>
        </w:rPr>
        <w:t>隐藏、</w:t>
      </w:r>
      <w:r>
        <w:rPr>
          <w:rFonts w:ascii="Times New Roman" w:eastAsia="方正仿宋_GBK" w:hAnsi="Times New Roman" w:cs="Times New Roman"/>
          <w:sz w:val="32"/>
          <w:szCs w:val="32"/>
        </w:rPr>
        <w:t>转移、变卖、损毁已被采取行政强制措施的物品或者先行登记保存的证据的；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（七）伪造、隐匿、毁灭证据的；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（八）拒不采取改正</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应急等措施</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导致危害后果扩大的</w:t>
      </w:r>
      <w:r>
        <w:rPr>
          <w:rFonts w:ascii="Times New Roman" w:eastAsia="方正仿宋_GBK" w:hAnsi="Times New Roman" w:cs="Times New Roman" w:hint="eastAsia"/>
          <w:sz w:val="32"/>
          <w:szCs w:val="32"/>
        </w:rPr>
        <w:t>；</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（九）</w:t>
      </w:r>
      <w:r>
        <w:rPr>
          <w:rFonts w:ascii="Times New Roman" w:eastAsia="方正仿宋_GBK" w:hAnsi="Times New Roman" w:cs="Times New Roman" w:hint="eastAsia"/>
          <w:sz w:val="32"/>
          <w:szCs w:val="32"/>
        </w:rPr>
        <w:t>在</w:t>
      </w:r>
      <w:r>
        <w:rPr>
          <w:rFonts w:ascii="Times New Roman" w:eastAsia="方正仿宋_GBK" w:hAnsi="Times New Roman" w:cs="Times New Roman"/>
          <w:sz w:val="32"/>
          <w:szCs w:val="32"/>
        </w:rPr>
        <w:t>自然灾害、事故灾难</w:t>
      </w:r>
      <w:r>
        <w:rPr>
          <w:rFonts w:ascii="Times New Roman" w:eastAsia="方正仿宋_GBK" w:hAnsi="Times New Roman" w:cs="Times New Roman" w:hint="eastAsia"/>
          <w:sz w:val="32"/>
          <w:szCs w:val="32"/>
        </w:rPr>
        <w:t>、公共卫生</w:t>
      </w:r>
      <w:r>
        <w:rPr>
          <w:rFonts w:ascii="Times New Roman" w:eastAsia="方正仿宋_GBK" w:hAnsi="Times New Roman" w:cs="Times New Roman"/>
          <w:sz w:val="32"/>
          <w:szCs w:val="32"/>
        </w:rPr>
        <w:t>事件</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社会安全事件等突发事件发生时期</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实施违法行为的；</w:t>
      </w:r>
      <w:r>
        <w:rPr>
          <w:rFonts w:ascii="Times New Roman" w:eastAsia="方正仿宋_GBK" w:hAnsi="Times New Roman" w:cs="Times New Roman"/>
          <w:sz w:val="32"/>
          <w:szCs w:val="32"/>
        </w:rPr>
        <w:t xml:space="preserve"> </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（十）被列入交通运输严重失信主体名单的；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（十一）其他依法可以从重处罚的。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思源黑体 Normal" w:cs="Times New Roman" w:hint="eastAsia"/>
          <w:sz w:val="32"/>
          <w:szCs w:val="32"/>
        </w:rPr>
        <w:t>第十五条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当事人属于企业，且其违法行为可能受到的行政处罚金额较高的，根据当事人意愿，可以签订行政和解协议。当事人在行政和解协议规定的观察期内有效进行合规整改，及时消</w:t>
      </w:r>
      <w:r>
        <w:rPr>
          <w:rFonts w:ascii="Times New Roman" w:eastAsia="方正仿宋_GBK" w:hAnsi="Times New Roman" w:cs="Times New Roman" w:hint="eastAsia"/>
          <w:sz w:val="32"/>
          <w:szCs w:val="32"/>
        </w:rPr>
        <w:lastRenderedPageBreak/>
        <w:t>除或者减轻行为危害后果的，依法从轻或者减轻处罚。</w:t>
      </w:r>
    </w:p>
    <w:p w:rsidR="00AF6F03" w:rsidRDefault="00050B94">
      <w:pPr>
        <w:shd w:val="clear" w:color="auto" w:fill="FFFFFF"/>
        <w:overflowPunct w:val="0"/>
        <w:spacing w:line="579" w:lineRule="exact"/>
        <w:ind w:firstLineChars="200" w:firstLine="640"/>
        <w:rPr>
          <w:rFonts w:ascii="方正仿宋_GBK" w:eastAsia="方正仿宋_GBK" w:hAnsi="方正黑体_GBK" w:cs="方正黑体_GBK"/>
          <w:sz w:val="32"/>
          <w:szCs w:val="32"/>
        </w:rPr>
      </w:pPr>
      <w:r>
        <w:rPr>
          <w:rFonts w:ascii="方正黑体_GBK" w:eastAsia="方正黑体_GBK" w:hAnsi="方正黑体_GBK" w:cs="方正黑体_GBK" w:hint="eastAsia"/>
          <w:sz w:val="32"/>
          <w:szCs w:val="32"/>
        </w:rPr>
        <w:t>第十六条</w:t>
      </w:r>
      <w:r>
        <w:rPr>
          <w:rFonts w:ascii="方正黑体_GBK" w:eastAsia="方正黑体_GBK" w:hAnsi="方正黑体_GBK" w:cs="方正黑体_GBK" w:hint="eastAsia"/>
          <w:sz w:val="32"/>
          <w:szCs w:val="32"/>
        </w:rPr>
        <w:t xml:space="preserve">  </w:t>
      </w:r>
      <w:r>
        <w:rPr>
          <w:rFonts w:ascii="方正仿宋_GBK" w:eastAsia="方正仿宋_GBK" w:hAnsi="方正黑体_GBK" w:cs="方正黑体_GBK" w:hint="eastAsia"/>
          <w:sz w:val="32"/>
          <w:szCs w:val="32"/>
        </w:rPr>
        <w:t>除按照轻微违法不予处罚事项清单外，根据本基准第十一条第一款第四项和第二款对有关违法行为拟作出不予处罚决定的，或者存在减轻处罚情节，拟作出减轻处罚决定的，应当经交通运输行政执法机构负责人集体讨论决定。</w:t>
      </w:r>
    </w:p>
    <w:p w:rsidR="00AF6F03" w:rsidRDefault="00050B94">
      <w:pPr>
        <w:shd w:val="clear" w:color="auto" w:fill="FFFFFF"/>
        <w:overflowPunct w:val="0"/>
        <w:spacing w:line="579" w:lineRule="exact"/>
        <w:ind w:firstLineChars="200" w:firstLine="640"/>
        <w:rPr>
          <w:rFonts w:ascii="方正仿宋_GBK" w:eastAsia="方正仿宋_GBK" w:hAnsi="方正黑体_GBK" w:cs="方正黑体_GBK"/>
          <w:sz w:val="32"/>
          <w:szCs w:val="32"/>
        </w:rPr>
      </w:pPr>
      <w:r>
        <w:rPr>
          <w:rFonts w:ascii="方正黑体_GBK" w:eastAsia="方正黑体_GBK" w:hAnsi="方正黑体_GBK" w:cs="方正黑体_GBK" w:hint="eastAsia"/>
          <w:sz w:val="32"/>
          <w:szCs w:val="32"/>
        </w:rPr>
        <w:t>第十七条</w:t>
      </w:r>
      <w:r>
        <w:rPr>
          <w:rFonts w:ascii="方正黑体_GBK" w:eastAsia="方正黑体_GBK" w:hAnsi="方正黑体_GBK" w:cs="方正黑体_GBK" w:hint="eastAsia"/>
          <w:sz w:val="32"/>
          <w:szCs w:val="32"/>
        </w:rPr>
        <w:t xml:space="preserve">  </w:t>
      </w:r>
      <w:r>
        <w:rPr>
          <w:rFonts w:ascii="方正仿宋_GBK" w:eastAsia="方正仿宋_GBK" w:hAnsi="方正黑体_GBK" w:cs="方正黑体_GBK" w:hint="eastAsia"/>
          <w:sz w:val="32"/>
          <w:szCs w:val="32"/>
        </w:rPr>
        <w:t>当事人既有从轻或者减轻行政处罚情形，又有从重行政处罚情形的，应当结合案件情况，综</w:t>
      </w:r>
      <w:r>
        <w:rPr>
          <w:rFonts w:ascii="方正仿宋_GBK" w:eastAsia="方正仿宋_GBK" w:hAnsi="方正黑体_GBK" w:cs="方正黑体_GBK" w:hint="eastAsia"/>
          <w:sz w:val="32"/>
          <w:szCs w:val="32"/>
        </w:rPr>
        <w:t>合考虑各裁量因素，给予相应的处罚。</w:t>
      </w:r>
    </w:p>
    <w:p w:rsidR="00AF6F03" w:rsidRDefault="00050B94">
      <w:pPr>
        <w:shd w:val="clear" w:color="auto" w:fill="FFFFFF"/>
        <w:overflowPunct w:val="0"/>
        <w:spacing w:line="579" w:lineRule="exact"/>
        <w:ind w:firstLineChars="200" w:firstLine="640"/>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对当事人的违法行为依法不予行政处罚的，交通运输行政执法机构应当制作不予处罚决定书，并对当事人进行教育。</w:t>
      </w:r>
    </w:p>
    <w:p w:rsidR="00AF6F03" w:rsidRDefault="00050B94">
      <w:pPr>
        <w:shd w:val="clear" w:color="auto" w:fill="FFFFFF"/>
        <w:overflowPunct w:val="0"/>
        <w:spacing w:line="579" w:lineRule="exact"/>
        <w:ind w:firstLineChars="200" w:firstLine="640"/>
        <w:rPr>
          <w:rFonts w:ascii="方正仿宋_GBK" w:eastAsia="方正仿宋_GBK" w:hAnsi="方正黑体_GBK" w:cs="方正黑体_GBK"/>
          <w:sz w:val="32"/>
          <w:szCs w:val="32"/>
        </w:rPr>
      </w:pPr>
      <w:r>
        <w:rPr>
          <w:rFonts w:ascii="方正黑体_GBK" w:eastAsia="方正黑体_GBK" w:hAnsi="方正黑体_GBK" w:cs="方正黑体_GBK" w:hint="eastAsia"/>
          <w:sz w:val="32"/>
          <w:szCs w:val="32"/>
        </w:rPr>
        <w:t>第十八条</w:t>
      </w:r>
      <w:r>
        <w:rPr>
          <w:rFonts w:ascii="方正仿宋_GBK" w:eastAsia="方正仿宋_GBK" w:hAnsi="方正黑体_GBK" w:cs="方正黑体_GBK" w:hint="eastAsia"/>
          <w:sz w:val="32"/>
          <w:szCs w:val="32"/>
        </w:rPr>
        <w:t xml:space="preserve">  </w:t>
      </w:r>
      <w:r>
        <w:rPr>
          <w:rFonts w:ascii="方正仿宋_GBK" w:eastAsia="方正仿宋_GBK" w:hAnsi="方正黑体_GBK" w:cs="方正黑体_GBK" w:hint="eastAsia"/>
          <w:sz w:val="32"/>
          <w:szCs w:val="32"/>
        </w:rPr>
        <w:t>违法行为在二年内未被发现的，不再给予行政处罚；涉及公民生命健康安全、金融安全且有危害后果的，上述期限延长至五年。法律另有规定的除外。</w:t>
      </w:r>
    </w:p>
    <w:p w:rsidR="00AF6F03" w:rsidRDefault="00050B94">
      <w:pPr>
        <w:shd w:val="clear" w:color="auto" w:fill="FFFFFF"/>
        <w:overflowPunct w:val="0"/>
        <w:spacing w:line="579" w:lineRule="exact"/>
        <w:ind w:firstLineChars="200" w:firstLine="640"/>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前款规定的期限，从违法行为发生之日起计算；违法行为有连续或者继续状态的，从行为终了之日起计算。</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行政处罚案件调查报告</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违法行为通知书和行政处罚决定书，应当载明行使行政处罚裁量的</w:t>
      </w:r>
      <w:r>
        <w:rPr>
          <w:rFonts w:ascii="Times New Roman" w:eastAsia="方正仿宋_GBK" w:hAnsi="Times New Roman" w:cs="Times New Roman" w:hint="eastAsia"/>
          <w:sz w:val="32"/>
          <w:szCs w:val="32"/>
        </w:rPr>
        <w:t>理由</w:t>
      </w:r>
      <w:r>
        <w:rPr>
          <w:rFonts w:ascii="Times New Roman" w:eastAsia="方正仿宋_GBK" w:hAnsi="Times New Roman" w:cs="Times New Roman"/>
          <w:sz w:val="32"/>
          <w:szCs w:val="32"/>
        </w:rPr>
        <w:t>和依据。</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开展行政处罚决定审核、重大行政处罚决定法制审核以及依法对行政处罚决定进行集体讨论时，应当充分审查和</w:t>
      </w:r>
      <w:proofErr w:type="gramStart"/>
      <w:r>
        <w:rPr>
          <w:rFonts w:ascii="Times New Roman" w:eastAsia="方正仿宋_GBK" w:hAnsi="Times New Roman" w:cs="Times New Roman"/>
          <w:sz w:val="32"/>
          <w:szCs w:val="32"/>
        </w:rPr>
        <w:t>考量</w:t>
      </w:r>
      <w:proofErr w:type="gramEnd"/>
      <w:r>
        <w:rPr>
          <w:rFonts w:ascii="Times New Roman" w:eastAsia="方正仿宋_GBK" w:hAnsi="Times New Roman" w:cs="Times New Roman"/>
          <w:sz w:val="32"/>
          <w:szCs w:val="32"/>
        </w:rPr>
        <w:t>行政处罚裁量权的行使是否合法、适当，并做好书面记录。</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案件承办机构在违法案件调查取证环节，应当依法、全面、客观收集可能影响行政处罚裁量的证据。对当事人提出的陈述、</w:t>
      </w:r>
      <w:r>
        <w:rPr>
          <w:rFonts w:ascii="Times New Roman" w:eastAsia="方正仿宋_GBK" w:hAnsi="Times New Roman" w:cs="Times New Roman" w:hint="eastAsia"/>
          <w:sz w:val="32"/>
          <w:szCs w:val="32"/>
        </w:rPr>
        <w:lastRenderedPageBreak/>
        <w:t>申辩意见，交通运输行政执法机构应当进行核实，</w:t>
      </w:r>
      <w:r>
        <w:rPr>
          <w:rFonts w:ascii="Times New Roman" w:eastAsia="方正仿宋_GBK" w:hAnsi="Times New Roman" w:cs="Times New Roman"/>
          <w:sz w:val="32"/>
          <w:szCs w:val="32"/>
        </w:rPr>
        <w:t>不得因当事人的陈述</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申辩而给予更重的处罚。</w:t>
      </w:r>
    </w:p>
    <w:p w:rsidR="00AF6F03" w:rsidRDefault="00050B94">
      <w:pPr>
        <w:shd w:val="clear" w:color="auto" w:fill="FFFFFF"/>
        <w:overflowPunct w:val="0"/>
        <w:spacing w:line="579" w:lineRule="exact"/>
        <w:ind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各级交通运输执法机构实施行政处罚应当以</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hint="eastAsia"/>
          <w:sz w:val="32"/>
          <w:szCs w:val="32"/>
        </w:rPr>
        <w:t>、规章为依据。行政处罚裁量基准可以作为行政处罚决定说理的内容，不得直接作为行政处罚的法律依据。</w:t>
      </w:r>
    </w:p>
    <w:p w:rsidR="00AF6F03" w:rsidRDefault="00050B94">
      <w:pPr>
        <w:shd w:val="clear" w:color="auto" w:fill="FFFFFF"/>
        <w:overflowPunct w:val="0"/>
        <w:spacing w:line="579" w:lineRule="exact"/>
        <w:ind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制作说</w:t>
      </w:r>
      <w:r>
        <w:rPr>
          <w:rFonts w:ascii="Times New Roman" w:eastAsia="方正仿宋_GBK" w:hAnsi="Times New Roman" w:cs="Times New Roman"/>
          <w:sz w:val="32"/>
          <w:szCs w:val="32"/>
        </w:rPr>
        <w:t>理式文书的，应当说明适用行政处罚裁量的事实、法律依据和理由，当事人对行政处罚裁</w:t>
      </w:r>
      <w:proofErr w:type="gramStart"/>
      <w:r>
        <w:rPr>
          <w:rFonts w:ascii="Times New Roman" w:eastAsia="方正仿宋_GBK" w:hAnsi="Times New Roman" w:cs="Times New Roman"/>
          <w:sz w:val="32"/>
          <w:szCs w:val="32"/>
        </w:rPr>
        <w:t>量提出</w:t>
      </w:r>
      <w:proofErr w:type="gramEnd"/>
      <w:r>
        <w:rPr>
          <w:rFonts w:ascii="Times New Roman" w:eastAsia="方正仿宋_GBK" w:hAnsi="Times New Roman" w:cs="Times New Roman"/>
          <w:sz w:val="32"/>
          <w:szCs w:val="32"/>
        </w:rPr>
        <w:t>陈述</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申辩的，应当记录有关陈述</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申辩的核实</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采纳情况并说明理由。</w:t>
      </w:r>
    </w:p>
    <w:p w:rsidR="00AF6F03" w:rsidRDefault="00050B94">
      <w:pPr>
        <w:shd w:val="clear" w:color="auto" w:fill="FFFFFF"/>
        <w:overflowPunct w:val="0"/>
        <w:spacing w:line="579" w:lineRule="exact"/>
        <w:ind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全省各级交通运输</w:t>
      </w:r>
      <w:r>
        <w:rPr>
          <w:rFonts w:ascii="Times New Roman" w:eastAsia="方正仿宋_GBK" w:hAnsi="Times New Roman" w:cs="Times New Roman" w:hint="eastAsia"/>
          <w:sz w:val="32"/>
          <w:szCs w:val="32"/>
        </w:rPr>
        <w:t>执法机构</w:t>
      </w:r>
      <w:r>
        <w:rPr>
          <w:rFonts w:ascii="Times New Roman" w:eastAsia="方正仿宋_GBK" w:hAnsi="Times New Roman" w:cs="Times New Roman"/>
          <w:sz w:val="32"/>
          <w:szCs w:val="32"/>
        </w:rPr>
        <w:t>应当加强对行使行政处罚裁量权的监督，通过文书评查、执法</w:t>
      </w:r>
      <w:r>
        <w:rPr>
          <w:rFonts w:ascii="Times New Roman" w:eastAsia="方正仿宋_GBK" w:hAnsi="Times New Roman" w:cs="Times New Roman" w:hint="eastAsia"/>
          <w:sz w:val="32"/>
          <w:szCs w:val="32"/>
        </w:rPr>
        <w:t>监督</w:t>
      </w:r>
      <w:r>
        <w:rPr>
          <w:rFonts w:ascii="Times New Roman" w:eastAsia="方正仿宋_GBK" w:hAnsi="Times New Roman" w:cs="Times New Roman"/>
          <w:sz w:val="32"/>
          <w:szCs w:val="32"/>
        </w:rPr>
        <w:t>、投诉举报</w:t>
      </w:r>
      <w:r>
        <w:rPr>
          <w:rFonts w:ascii="Times New Roman" w:eastAsia="方正仿宋_GBK" w:hAnsi="Times New Roman" w:cs="Times New Roman" w:hint="eastAsia"/>
          <w:sz w:val="32"/>
          <w:szCs w:val="32"/>
        </w:rPr>
        <w:t>处理</w:t>
      </w:r>
      <w:r>
        <w:rPr>
          <w:rFonts w:ascii="Times New Roman" w:eastAsia="方正仿宋_GBK" w:hAnsi="Times New Roman" w:cs="Times New Roman"/>
          <w:sz w:val="32"/>
          <w:szCs w:val="32"/>
        </w:rPr>
        <w:t>等方式，对本部门及下级部门交通运输行政处罚裁量权行使情况进行监督检查。发现行政处罚裁量</w:t>
      </w:r>
      <w:r>
        <w:rPr>
          <w:rFonts w:ascii="Times New Roman" w:eastAsia="方正仿宋_GBK" w:hAnsi="Times New Roman" w:cs="Times New Roman" w:hint="eastAsia"/>
          <w:sz w:val="32"/>
          <w:szCs w:val="32"/>
        </w:rPr>
        <w:t>权</w:t>
      </w:r>
      <w:r>
        <w:rPr>
          <w:rFonts w:ascii="Times New Roman" w:eastAsia="方正仿宋_GBK" w:hAnsi="Times New Roman" w:cs="Times New Roman"/>
          <w:sz w:val="32"/>
          <w:szCs w:val="32"/>
        </w:rPr>
        <w:t>行使不当的，根据职责权限及时纠正。</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有下列情形之一的，因行使行政处罚裁量权不当，造成严重后果的，依法依规追究有关人员的责任：</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（一）造成行政处罚案件被</w:t>
      </w:r>
      <w:r>
        <w:rPr>
          <w:rFonts w:ascii="Times New Roman" w:eastAsia="方正仿宋_GBK" w:hAnsi="Times New Roman" w:cs="Times New Roman"/>
          <w:sz w:val="32"/>
          <w:szCs w:val="32"/>
        </w:rPr>
        <w:t>人民法院终审判决撤销、变更或者确认违法的；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（二）造成行政处罚案件被复议机关撤销、变更或者确认违法的；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（三）被当事人投诉或者举报，查证属实，造成恶劣影响的。</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第二十三条</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法律法规</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规章</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司法解释</w:t>
      </w:r>
      <w:r>
        <w:rPr>
          <w:rFonts w:ascii="Times New Roman" w:eastAsia="方正仿宋_GBK" w:hAnsi="Times New Roman" w:cs="Times New Roman" w:hint="eastAsia"/>
          <w:sz w:val="32"/>
          <w:szCs w:val="32"/>
        </w:rPr>
        <w:t>、省人民政府和交通运输部</w:t>
      </w:r>
      <w:r>
        <w:rPr>
          <w:rFonts w:ascii="Times New Roman" w:eastAsia="方正仿宋_GBK" w:hAnsi="Times New Roman" w:cs="Times New Roman"/>
          <w:sz w:val="32"/>
          <w:szCs w:val="32"/>
        </w:rPr>
        <w:t>对</w:t>
      </w:r>
      <w:r>
        <w:rPr>
          <w:rFonts w:ascii="Times New Roman" w:eastAsia="方正仿宋_GBK" w:hAnsi="Times New Roman" w:cs="Times New Roman" w:hint="eastAsia"/>
          <w:sz w:val="32"/>
          <w:szCs w:val="32"/>
        </w:rPr>
        <w:t>行政处罚裁量基准另有规定的，依照相关规定执行。</w:t>
      </w:r>
    </w:p>
    <w:p w:rsidR="00AF6F03" w:rsidRDefault="00050B94">
      <w:pPr>
        <w:shd w:val="clear" w:color="auto" w:fill="FFFFFF"/>
        <w:overflowPunct w:val="0"/>
        <w:spacing w:line="579" w:lineRule="exact"/>
        <w:ind w:firstLineChars="200" w:firstLine="640"/>
        <w:rPr>
          <w:rFonts w:ascii="Times New Roman" w:eastAsia="方正仿宋_GBK" w:hAnsi="Times New Roman" w:cs="Times New Roman"/>
          <w:sz w:val="32"/>
          <w:szCs w:val="32"/>
        </w:rPr>
      </w:pPr>
      <w:r>
        <w:rPr>
          <w:rFonts w:ascii="方正黑体_GBK" w:eastAsia="方正黑体_GBK" w:hAnsi="方正黑体_GBK" w:cs="方正黑体_GBK" w:hint="eastAsia"/>
          <w:sz w:val="32"/>
          <w:szCs w:val="32"/>
        </w:rPr>
        <w:lastRenderedPageBreak/>
        <w:t>第二十四条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本基准自</w:t>
      </w:r>
      <w:r>
        <w:rPr>
          <w:rFonts w:ascii="Times New Roman" w:eastAsia="方正仿宋_GBK" w:hAnsi="Times New Roman" w:cs="Times New Roman"/>
          <w:sz w:val="32"/>
          <w:szCs w:val="32"/>
        </w:rPr>
        <w:t>2024</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月</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日起施行</w:t>
      </w:r>
      <w:r>
        <w:rPr>
          <w:rFonts w:ascii="Times New Roman" w:eastAsia="方正仿宋_GBK" w:hAnsi="Times New Roman" w:cs="Times New Roman" w:hint="eastAsia"/>
          <w:sz w:val="32"/>
          <w:szCs w:val="32"/>
        </w:rPr>
        <w:t>，有效期至</w:t>
      </w:r>
      <w:r>
        <w:rPr>
          <w:rFonts w:ascii="Times New Roman" w:eastAsia="方正仿宋_GBK" w:hAnsi="Times New Roman" w:cs="Times New Roman" w:hint="eastAsia"/>
          <w:sz w:val="32"/>
          <w:szCs w:val="32"/>
        </w:rPr>
        <w:t>2029</w:t>
      </w:r>
      <w:r>
        <w:rPr>
          <w:rFonts w:ascii="Times New Roman" w:eastAsia="方正仿宋_GBK" w:hAnsi="Times New Roman" w:cs="Times New Roman" w:hint="eastAsia"/>
          <w:sz w:val="32"/>
          <w:szCs w:val="32"/>
        </w:rPr>
        <w:t>年</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日。本基准施行后，交通运输行政执法机构已立案但尚未</w:t>
      </w:r>
      <w:proofErr w:type="gramStart"/>
      <w:r>
        <w:rPr>
          <w:rFonts w:ascii="Times New Roman" w:eastAsia="方正仿宋_GBK" w:hAnsi="Times New Roman" w:cs="Times New Roman" w:hint="eastAsia"/>
          <w:sz w:val="32"/>
          <w:szCs w:val="32"/>
        </w:rPr>
        <w:t>作出</w:t>
      </w:r>
      <w:proofErr w:type="gramEnd"/>
      <w:r>
        <w:rPr>
          <w:rFonts w:ascii="Times New Roman" w:eastAsia="方正仿宋_GBK" w:hAnsi="Times New Roman" w:cs="Times New Roman" w:hint="eastAsia"/>
          <w:sz w:val="32"/>
          <w:szCs w:val="32"/>
        </w:rPr>
        <w:t>行政处罚决定的案件，适用本基准。本基准实施前已</w:t>
      </w:r>
      <w:proofErr w:type="gramStart"/>
      <w:r>
        <w:rPr>
          <w:rFonts w:ascii="Times New Roman" w:eastAsia="方正仿宋_GBK" w:hAnsi="Times New Roman" w:cs="Times New Roman" w:hint="eastAsia"/>
          <w:sz w:val="32"/>
          <w:szCs w:val="32"/>
        </w:rPr>
        <w:t>作出</w:t>
      </w:r>
      <w:proofErr w:type="gramEnd"/>
      <w:r>
        <w:rPr>
          <w:rFonts w:ascii="Times New Roman" w:eastAsia="方正仿宋_GBK" w:hAnsi="Times New Roman" w:cs="Times New Roman" w:hint="eastAsia"/>
          <w:sz w:val="32"/>
          <w:szCs w:val="32"/>
        </w:rPr>
        <w:t>行政处罚决定的案件，当事人对行政处罚决定不服申请行政复议或者提起行政诉讼的，不适用本基准。</w:t>
      </w:r>
      <w:r>
        <w:rPr>
          <w:rFonts w:ascii="Times New Roman" w:eastAsia="方正仿宋_GBK" w:hAnsi="Times New Roman" w:cs="Times New Roman"/>
          <w:sz w:val="32"/>
          <w:szCs w:val="32"/>
        </w:rPr>
        <w:t>《江苏省交通运输行政处罚自由裁量适用规则》《江苏省交通运输行政处罚高频事项自由裁量基准（试行）》</w:t>
      </w:r>
      <w:r>
        <w:rPr>
          <w:rFonts w:ascii="Times New Roman" w:eastAsia="方正仿宋_GBK" w:hAnsi="Times New Roman" w:cs="Times New Roman" w:hint="eastAsia"/>
          <w:sz w:val="32"/>
          <w:szCs w:val="32"/>
        </w:rPr>
        <w:t>同时</w:t>
      </w:r>
      <w:r>
        <w:rPr>
          <w:rFonts w:ascii="Times New Roman" w:eastAsia="方正仿宋_GBK" w:hAnsi="Times New Roman" w:cs="Times New Roman"/>
          <w:sz w:val="32"/>
          <w:szCs w:val="32"/>
        </w:rPr>
        <w:t>废止。</w:t>
      </w:r>
    </w:p>
    <w:p w:rsidR="00AF6F03" w:rsidRDefault="00AF6F03">
      <w:pPr>
        <w:spacing w:line="579" w:lineRule="exact"/>
        <w:ind w:firstLineChars="200" w:firstLine="640"/>
        <w:rPr>
          <w:rFonts w:ascii="Times New Roman" w:eastAsia="方正仿宋_GBK" w:hAnsi="Times New Roman" w:cs="Times New Roman"/>
          <w:sz w:val="32"/>
          <w:szCs w:val="32"/>
        </w:rPr>
      </w:pPr>
    </w:p>
    <w:p w:rsidR="00AF6F03" w:rsidRDefault="00050B94">
      <w:pPr>
        <w:spacing w:line="579" w:lineRule="exact"/>
        <w:ind w:firstLineChars="200" w:firstLine="640"/>
        <w:rPr>
          <w:rFonts w:ascii="Times New Roman" w:eastAsia="方正仿宋_GBK" w:hAnsi="Times New Roman" w:cs="Times New Roman"/>
          <w:spacing w:val="-11"/>
          <w:sz w:val="32"/>
          <w:szCs w:val="32"/>
        </w:rPr>
      </w:pPr>
      <w:r>
        <w:rPr>
          <w:rFonts w:ascii="Times New Roman" w:eastAsia="方正仿宋_GBK" w:hAnsi="Times New Roman" w:cs="Times New Roman"/>
          <w:sz w:val="32"/>
          <w:szCs w:val="32"/>
        </w:rPr>
        <w:t>附表：</w:t>
      </w:r>
      <w:r>
        <w:rPr>
          <w:rFonts w:ascii="Times New Roman" w:eastAsia="方正仿宋_GBK" w:hAnsi="Times New Roman" w:cs="Times New Roman"/>
          <w:spacing w:val="-11"/>
          <w:sz w:val="32"/>
          <w:szCs w:val="32"/>
        </w:rPr>
        <w:t>江苏省交通运输常见行政处罚事项裁量基准表</w:t>
      </w:r>
      <w:r>
        <w:rPr>
          <w:rFonts w:ascii="Times New Roman" w:eastAsia="方正仿宋_GBK" w:hAnsi="Times New Roman" w:cs="Times New Roman" w:hint="eastAsia"/>
          <w:spacing w:val="-11"/>
          <w:sz w:val="32"/>
          <w:szCs w:val="32"/>
        </w:rPr>
        <w:t>（</w:t>
      </w:r>
      <w:r>
        <w:rPr>
          <w:rFonts w:ascii="Times New Roman" w:eastAsia="方正仿宋_GBK" w:hAnsi="Times New Roman" w:cs="Times New Roman" w:hint="eastAsia"/>
          <w:spacing w:val="-11"/>
          <w:sz w:val="32"/>
          <w:szCs w:val="32"/>
        </w:rPr>
        <w:t>2024</w:t>
      </w:r>
      <w:r>
        <w:rPr>
          <w:rFonts w:ascii="Times New Roman" w:eastAsia="方正仿宋_GBK" w:hAnsi="Times New Roman" w:cs="Times New Roman" w:hint="eastAsia"/>
          <w:spacing w:val="-11"/>
          <w:sz w:val="32"/>
          <w:szCs w:val="32"/>
        </w:rPr>
        <w:t>版）</w:t>
      </w:r>
    </w:p>
    <w:sectPr w:rsidR="00AF6F03">
      <w:footerReference w:type="default" r:id="rId8"/>
      <w:pgSz w:w="11906" w:h="16838"/>
      <w:pgMar w:top="2098" w:right="1474" w:bottom="1984" w:left="1587" w:header="851" w:footer="992" w:gutter="0"/>
      <w:cols w:space="0"/>
      <w:docGrid w:type="lines" w:linePitch="31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0B94" w:rsidRDefault="00050B94">
      <w:r>
        <w:separator/>
      </w:r>
    </w:p>
  </w:endnote>
  <w:endnote w:type="continuationSeparator" w:id="0">
    <w:p w:rsidR="00050B94" w:rsidRDefault="00050B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思源黑体 Normal">
    <w:altName w:val="方正黑体_GBK"/>
    <w:charset w:val="86"/>
    <w:family w:val="swiss"/>
    <w:pitch w:val="default"/>
    <w:sig w:usb0="00000000" w:usb1="00000000" w:usb2="00000016" w:usb3="00000000" w:csb0="002E0107"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F03" w:rsidRDefault="00050B94">
    <w:pPr>
      <w:pStyle w:val="a3"/>
      <w:tabs>
        <w:tab w:val="clear" w:pos="4153"/>
        <w:tab w:val="center" w:pos="4422"/>
      </w:tabs>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F6F03" w:rsidRDefault="00050B94">
                          <w:pPr>
                            <w:pStyle w:val="a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F308B8">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AF6F03" w:rsidRDefault="00050B94">
                    <w:pPr>
                      <w:pStyle w:val="a3"/>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F308B8">
                      <w:rPr>
                        <w:rFonts w:ascii="Times New Roman" w:hAnsi="Times New Roman" w:cs="Times New Roman"/>
                        <w:noProof/>
                        <w:sz w:val="28"/>
                        <w:szCs w:val="28"/>
                      </w:rPr>
                      <w:t>1</w:t>
                    </w:r>
                    <w:r>
                      <w:rPr>
                        <w:rFonts w:ascii="Times New Roman" w:hAnsi="Times New Roman" w:cs="Times New Roman"/>
                        <w:sz w:val="28"/>
                        <w:szCs w:val="28"/>
                      </w:rPr>
                      <w:fldChar w:fldCharType="end"/>
                    </w:r>
                    <w:r>
                      <w:rPr>
                        <w:rFonts w:ascii="Times New Roman" w:hAnsi="Times New Roman" w:cs="Times New Roman"/>
                        <w:sz w:val="28"/>
                        <w:szCs w:val="28"/>
                      </w:rPr>
                      <w:t xml:space="preserve"> —</w:t>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0B94" w:rsidRDefault="00050B94">
      <w:r>
        <w:separator/>
      </w:r>
    </w:p>
  </w:footnote>
  <w:footnote w:type="continuationSeparator" w:id="0">
    <w:p w:rsidR="00050B94" w:rsidRDefault="00050B9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9"/>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QwMjA5MTJjOTRhM2RjMDQ5ZmI5ZmM4YjIyY2ZiNDMifQ=="/>
  </w:docVars>
  <w:rsids>
    <w:rsidRoot w:val="00C87632"/>
    <w:rsid w:val="EFDF2A12"/>
    <w:rsid w:val="00026639"/>
    <w:rsid w:val="000420AD"/>
    <w:rsid w:val="00046A33"/>
    <w:rsid w:val="00050B94"/>
    <w:rsid w:val="00051A3A"/>
    <w:rsid w:val="0005705F"/>
    <w:rsid w:val="00087BCD"/>
    <w:rsid w:val="000970BA"/>
    <w:rsid w:val="000B3318"/>
    <w:rsid w:val="000B61FF"/>
    <w:rsid w:val="000D0753"/>
    <w:rsid w:val="000D0B13"/>
    <w:rsid w:val="000D5CFF"/>
    <w:rsid w:val="000E344A"/>
    <w:rsid w:val="000F1218"/>
    <w:rsid w:val="00127A13"/>
    <w:rsid w:val="00142918"/>
    <w:rsid w:val="00145827"/>
    <w:rsid w:val="00151087"/>
    <w:rsid w:val="00157D3B"/>
    <w:rsid w:val="00171178"/>
    <w:rsid w:val="00172BB5"/>
    <w:rsid w:val="00172F64"/>
    <w:rsid w:val="00183AE4"/>
    <w:rsid w:val="00186DD5"/>
    <w:rsid w:val="00193ABD"/>
    <w:rsid w:val="001A3F86"/>
    <w:rsid w:val="001B2242"/>
    <w:rsid w:val="001C0417"/>
    <w:rsid w:val="001D644D"/>
    <w:rsid w:val="001D65DE"/>
    <w:rsid w:val="001D7DF1"/>
    <w:rsid w:val="001E18DC"/>
    <w:rsid w:val="001F08CB"/>
    <w:rsid w:val="00210D80"/>
    <w:rsid w:val="0022791B"/>
    <w:rsid w:val="00272D6E"/>
    <w:rsid w:val="00281832"/>
    <w:rsid w:val="0028533E"/>
    <w:rsid w:val="002A70E1"/>
    <w:rsid w:val="002C0C92"/>
    <w:rsid w:val="002E19AA"/>
    <w:rsid w:val="002F34B6"/>
    <w:rsid w:val="002F5557"/>
    <w:rsid w:val="003105D3"/>
    <w:rsid w:val="00310864"/>
    <w:rsid w:val="00320258"/>
    <w:rsid w:val="00330358"/>
    <w:rsid w:val="00331F60"/>
    <w:rsid w:val="003371E0"/>
    <w:rsid w:val="003459B9"/>
    <w:rsid w:val="00346D94"/>
    <w:rsid w:val="00365B71"/>
    <w:rsid w:val="00391D5A"/>
    <w:rsid w:val="003B0D78"/>
    <w:rsid w:val="003B37EC"/>
    <w:rsid w:val="003B5A3C"/>
    <w:rsid w:val="003B6C9F"/>
    <w:rsid w:val="003C02C1"/>
    <w:rsid w:val="003F5B8D"/>
    <w:rsid w:val="004041EE"/>
    <w:rsid w:val="00416AAB"/>
    <w:rsid w:val="00416AFA"/>
    <w:rsid w:val="004219ED"/>
    <w:rsid w:val="0042614A"/>
    <w:rsid w:val="00441A01"/>
    <w:rsid w:val="00444936"/>
    <w:rsid w:val="00445E62"/>
    <w:rsid w:val="00447BD7"/>
    <w:rsid w:val="004508A6"/>
    <w:rsid w:val="0047538F"/>
    <w:rsid w:val="004764F3"/>
    <w:rsid w:val="00481EAA"/>
    <w:rsid w:val="00483D3E"/>
    <w:rsid w:val="00487AD8"/>
    <w:rsid w:val="0049060D"/>
    <w:rsid w:val="00495A2F"/>
    <w:rsid w:val="004B293C"/>
    <w:rsid w:val="004C58D1"/>
    <w:rsid w:val="004D4795"/>
    <w:rsid w:val="004E2AE7"/>
    <w:rsid w:val="004E36C5"/>
    <w:rsid w:val="004E5A6C"/>
    <w:rsid w:val="004F60F0"/>
    <w:rsid w:val="00544202"/>
    <w:rsid w:val="00544B1F"/>
    <w:rsid w:val="00545868"/>
    <w:rsid w:val="00570BBA"/>
    <w:rsid w:val="00584E83"/>
    <w:rsid w:val="005873D4"/>
    <w:rsid w:val="005879A4"/>
    <w:rsid w:val="005A0404"/>
    <w:rsid w:val="005A32C9"/>
    <w:rsid w:val="005A5192"/>
    <w:rsid w:val="005B01FF"/>
    <w:rsid w:val="005B2069"/>
    <w:rsid w:val="005C2389"/>
    <w:rsid w:val="005C5E9D"/>
    <w:rsid w:val="005D5566"/>
    <w:rsid w:val="005E19B6"/>
    <w:rsid w:val="005E2877"/>
    <w:rsid w:val="006109BF"/>
    <w:rsid w:val="00625CC1"/>
    <w:rsid w:val="0063614A"/>
    <w:rsid w:val="00636728"/>
    <w:rsid w:val="0064582D"/>
    <w:rsid w:val="00656B6D"/>
    <w:rsid w:val="0066431D"/>
    <w:rsid w:val="006713EC"/>
    <w:rsid w:val="00677FA1"/>
    <w:rsid w:val="00682665"/>
    <w:rsid w:val="00693B53"/>
    <w:rsid w:val="00697C84"/>
    <w:rsid w:val="006A2FF7"/>
    <w:rsid w:val="006B0049"/>
    <w:rsid w:val="006C63F2"/>
    <w:rsid w:val="006D524C"/>
    <w:rsid w:val="006F17F4"/>
    <w:rsid w:val="00701017"/>
    <w:rsid w:val="0071175A"/>
    <w:rsid w:val="00722003"/>
    <w:rsid w:val="00735B48"/>
    <w:rsid w:val="007530EB"/>
    <w:rsid w:val="00786057"/>
    <w:rsid w:val="00791F06"/>
    <w:rsid w:val="007A368C"/>
    <w:rsid w:val="007A51C1"/>
    <w:rsid w:val="007A74F6"/>
    <w:rsid w:val="007C0F38"/>
    <w:rsid w:val="007D44C4"/>
    <w:rsid w:val="007D5088"/>
    <w:rsid w:val="007E0A3C"/>
    <w:rsid w:val="007F414B"/>
    <w:rsid w:val="00804DCC"/>
    <w:rsid w:val="00805BEC"/>
    <w:rsid w:val="0080669C"/>
    <w:rsid w:val="008232A6"/>
    <w:rsid w:val="008550E4"/>
    <w:rsid w:val="00855EAF"/>
    <w:rsid w:val="00856364"/>
    <w:rsid w:val="00857D2B"/>
    <w:rsid w:val="00873C6D"/>
    <w:rsid w:val="00897DA9"/>
    <w:rsid w:val="008B2A59"/>
    <w:rsid w:val="008B4DD9"/>
    <w:rsid w:val="008C271A"/>
    <w:rsid w:val="008D274A"/>
    <w:rsid w:val="008E075B"/>
    <w:rsid w:val="008E300C"/>
    <w:rsid w:val="008E5FC8"/>
    <w:rsid w:val="009055C8"/>
    <w:rsid w:val="0092120E"/>
    <w:rsid w:val="009234E3"/>
    <w:rsid w:val="00935A4F"/>
    <w:rsid w:val="00951C09"/>
    <w:rsid w:val="0096440C"/>
    <w:rsid w:val="00966F72"/>
    <w:rsid w:val="00975948"/>
    <w:rsid w:val="0098241B"/>
    <w:rsid w:val="009824D9"/>
    <w:rsid w:val="0098476F"/>
    <w:rsid w:val="00993805"/>
    <w:rsid w:val="009A3952"/>
    <w:rsid w:val="009A44DD"/>
    <w:rsid w:val="009B0EC8"/>
    <w:rsid w:val="009C3FCF"/>
    <w:rsid w:val="009D0DFB"/>
    <w:rsid w:val="009F39D0"/>
    <w:rsid w:val="009F3ECD"/>
    <w:rsid w:val="00A2229F"/>
    <w:rsid w:val="00A229A0"/>
    <w:rsid w:val="00A23941"/>
    <w:rsid w:val="00A37344"/>
    <w:rsid w:val="00A44D27"/>
    <w:rsid w:val="00A46541"/>
    <w:rsid w:val="00A637CF"/>
    <w:rsid w:val="00A8552A"/>
    <w:rsid w:val="00AA1D99"/>
    <w:rsid w:val="00AA388E"/>
    <w:rsid w:val="00AA7CD9"/>
    <w:rsid w:val="00AB1A80"/>
    <w:rsid w:val="00AB4F06"/>
    <w:rsid w:val="00AC2999"/>
    <w:rsid w:val="00AD1290"/>
    <w:rsid w:val="00AD3425"/>
    <w:rsid w:val="00AE0F7F"/>
    <w:rsid w:val="00AF6F03"/>
    <w:rsid w:val="00B010AC"/>
    <w:rsid w:val="00B06613"/>
    <w:rsid w:val="00B07D56"/>
    <w:rsid w:val="00B14D69"/>
    <w:rsid w:val="00B2287F"/>
    <w:rsid w:val="00B37458"/>
    <w:rsid w:val="00B46C1E"/>
    <w:rsid w:val="00B721BE"/>
    <w:rsid w:val="00B77F4F"/>
    <w:rsid w:val="00BC056F"/>
    <w:rsid w:val="00BC3648"/>
    <w:rsid w:val="00BC65B8"/>
    <w:rsid w:val="00BD67AC"/>
    <w:rsid w:val="00BE165F"/>
    <w:rsid w:val="00BE3D44"/>
    <w:rsid w:val="00BF2BE8"/>
    <w:rsid w:val="00C1565F"/>
    <w:rsid w:val="00C16DC9"/>
    <w:rsid w:val="00C276FC"/>
    <w:rsid w:val="00C37CFC"/>
    <w:rsid w:val="00C74966"/>
    <w:rsid w:val="00C82C16"/>
    <w:rsid w:val="00C87632"/>
    <w:rsid w:val="00C93359"/>
    <w:rsid w:val="00CA10C9"/>
    <w:rsid w:val="00CA2661"/>
    <w:rsid w:val="00CA3825"/>
    <w:rsid w:val="00CA5D8F"/>
    <w:rsid w:val="00CE0F63"/>
    <w:rsid w:val="00D0532A"/>
    <w:rsid w:val="00D11A83"/>
    <w:rsid w:val="00D21E87"/>
    <w:rsid w:val="00D27AC4"/>
    <w:rsid w:val="00D4595E"/>
    <w:rsid w:val="00D668E9"/>
    <w:rsid w:val="00DC4EEB"/>
    <w:rsid w:val="00DE2402"/>
    <w:rsid w:val="00DF66D1"/>
    <w:rsid w:val="00DF69D3"/>
    <w:rsid w:val="00DF6A51"/>
    <w:rsid w:val="00DF6C4D"/>
    <w:rsid w:val="00E1071E"/>
    <w:rsid w:val="00E22FF3"/>
    <w:rsid w:val="00E24147"/>
    <w:rsid w:val="00E4171C"/>
    <w:rsid w:val="00E41A44"/>
    <w:rsid w:val="00E42BA5"/>
    <w:rsid w:val="00E62566"/>
    <w:rsid w:val="00E803F1"/>
    <w:rsid w:val="00EB4225"/>
    <w:rsid w:val="00ED7834"/>
    <w:rsid w:val="00EE685D"/>
    <w:rsid w:val="00EE6AA5"/>
    <w:rsid w:val="00F001E7"/>
    <w:rsid w:val="00F005CD"/>
    <w:rsid w:val="00F07FAA"/>
    <w:rsid w:val="00F308B8"/>
    <w:rsid w:val="00F30B2C"/>
    <w:rsid w:val="00F32990"/>
    <w:rsid w:val="00F46308"/>
    <w:rsid w:val="00F54249"/>
    <w:rsid w:val="00F677F3"/>
    <w:rsid w:val="00F72B33"/>
    <w:rsid w:val="00F85A8F"/>
    <w:rsid w:val="00F864B7"/>
    <w:rsid w:val="00FD2C25"/>
    <w:rsid w:val="00FD667A"/>
    <w:rsid w:val="00FD6DF9"/>
    <w:rsid w:val="06E01282"/>
    <w:rsid w:val="0DF7515D"/>
    <w:rsid w:val="0E1C5B54"/>
    <w:rsid w:val="15BD0030"/>
    <w:rsid w:val="1754734D"/>
    <w:rsid w:val="1C6931B9"/>
    <w:rsid w:val="201A6879"/>
    <w:rsid w:val="20D82A9B"/>
    <w:rsid w:val="26497B59"/>
    <w:rsid w:val="27FE6C81"/>
    <w:rsid w:val="2EE83859"/>
    <w:rsid w:val="36273F9C"/>
    <w:rsid w:val="36C86D41"/>
    <w:rsid w:val="374F61E5"/>
    <w:rsid w:val="3D19378B"/>
    <w:rsid w:val="44D83411"/>
    <w:rsid w:val="49475C2E"/>
    <w:rsid w:val="539C6917"/>
    <w:rsid w:val="53C96F49"/>
    <w:rsid w:val="57B70D7B"/>
    <w:rsid w:val="5C3C136F"/>
    <w:rsid w:val="6B4C4119"/>
    <w:rsid w:val="708B0951"/>
    <w:rsid w:val="750357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paragraph" w:customStyle="1" w:styleId="1">
    <w:name w:val="修订1"/>
    <w:hidden/>
    <w:uiPriority w:val="99"/>
    <w:unhideWhenUsed/>
    <w:qFormat/>
    <w:rPr>
      <w:rFonts w:asciiTheme="minorHAnsi" w:eastAsiaTheme="minorEastAsia" w:hAnsiTheme="minorHAnsi" w:cstheme="minorBidi"/>
      <w:kern w:val="2"/>
      <w:sz w:val="21"/>
      <w:szCs w:val="22"/>
    </w:rPr>
  </w:style>
  <w:style w:type="paragraph" w:customStyle="1" w:styleId="2">
    <w:name w:val="修订2"/>
    <w:hidden/>
    <w:uiPriority w:val="99"/>
    <w:unhideWhenUsed/>
    <w:qFormat/>
    <w:rPr>
      <w:rFonts w:asciiTheme="minorHAnsi" w:eastAsiaTheme="minorEastAsia" w:hAnsiTheme="minorHAnsi" w:cstheme="minorBidi"/>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pPr>
      <w:tabs>
        <w:tab w:val="center" w:pos="4153"/>
        <w:tab w:val="right" w:pos="8306"/>
      </w:tabs>
      <w:snapToGrid w:val="0"/>
      <w:jc w:val="left"/>
    </w:pPr>
    <w:rPr>
      <w:sz w:val="18"/>
      <w:szCs w:val="18"/>
    </w:rPr>
  </w:style>
  <w:style w:type="paragraph" w:styleId="a4">
    <w:name w:val="header"/>
    <w:basedOn w:val="a"/>
    <w:link w:val="Char0"/>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semiHidden/>
    <w:unhideWhenUsed/>
    <w:qFormat/>
    <w:pPr>
      <w:widowControl/>
      <w:spacing w:before="100" w:beforeAutospacing="1" w:after="100" w:afterAutospacing="1"/>
      <w:jc w:val="left"/>
    </w:pPr>
    <w:rPr>
      <w:rFonts w:ascii="宋体" w:eastAsia="宋体" w:hAnsi="宋体" w:cs="宋体"/>
      <w:kern w:val="0"/>
      <w:sz w:val="24"/>
      <w:szCs w:val="24"/>
    </w:rPr>
  </w:style>
  <w:style w:type="character" w:customStyle="1" w:styleId="Char0">
    <w:name w:val="页眉 Char"/>
    <w:basedOn w:val="a0"/>
    <w:link w:val="a4"/>
    <w:uiPriority w:val="99"/>
    <w:qFormat/>
    <w:rPr>
      <w:sz w:val="18"/>
      <w:szCs w:val="18"/>
    </w:rPr>
  </w:style>
  <w:style w:type="character" w:customStyle="1" w:styleId="Char">
    <w:name w:val="页脚 Char"/>
    <w:basedOn w:val="a0"/>
    <w:link w:val="a3"/>
    <w:uiPriority w:val="99"/>
    <w:qFormat/>
    <w:rPr>
      <w:sz w:val="18"/>
      <w:szCs w:val="18"/>
    </w:rPr>
  </w:style>
  <w:style w:type="paragraph" w:customStyle="1" w:styleId="1">
    <w:name w:val="修订1"/>
    <w:hidden/>
    <w:uiPriority w:val="99"/>
    <w:unhideWhenUsed/>
    <w:qFormat/>
    <w:rPr>
      <w:rFonts w:asciiTheme="minorHAnsi" w:eastAsiaTheme="minorEastAsia" w:hAnsiTheme="minorHAnsi" w:cstheme="minorBidi"/>
      <w:kern w:val="2"/>
      <w:sz w:val="21"/>
      <w:szCs w:val="22"/>
    </w:rPr>
  </w:style>
  <w:style w:type="paragraph" w:customStyle="1" w:styleId="2">
    <w:name w:val="修订2"/>
    <w:hidden/>
    <w:uiPriority w:val="99"/>
    <w:unhideWhenUsed/>
    <w:qFormat/>
    <w:rPr>
      <w:rFonts w:asciiTheme="minorHAnsi" w:eastAsiaTheme="minorEastAsia" w:hAnsiTheme="minorHAnsi" w:cstheme="minorBid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605</Words>
  <Characters>3450</Characters>
  <Application>Microsoft Office Word</Application>
  <DocSecurity>0</DocSecurity>
  <Lines>28</Lines>
  <Paragraphs>8</Paragraphs>
  <ScaleCrop>false</ScaleCrop>
  <Company>P R C</Company>
  <LinksUpToDate>false</LinksUpToDate>
  <CharactersWithSpaces>4047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仲秋</cp:lastModifiedBy>
  <cp:revision>71</cp:revision>
  <cp:lastPrinted>2023-12-26T17:14:00Z</cp:lastPrinted>
  <dcterms:created xsi:type="dcterms:W3CDTF">2023-12-11T19:23:00Z</dcterms:created>
  <dcterms:modified xsi:type="dcterms:W3CDTF">2024-01-11T09:54:00Z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y fmtid="{D5CDD505-2E9C-101B-9397-08002B2CF9AE}" pid="3" name="ICV">
    <vt:lpwstr>50E76F48774A4A848926F9DD72F78105_13</vt:lpwstr>
  </property>
</Properties>
</file>