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2EC8C">
      <w:pPr>
        <w:pStyle w:val="7"/>
        <w:jc w:val="center"/>
        <w:outlineLvl w:val="0"/>
        <w:rPr>
          <w:rFonts w:ascii="方正小标宋_GBK" w:eastAsia="方正小标宋_GBK"/>
          <w:sz w:val="44"/>
          <w:szCs w:val="44"/>
        </w:rPr>
      </w:pPr>
    </w:p>
    <w:p w14:paraId="6ED6F925">
      <w:pPr>
        <w:pStyle w:val="7"/>
        <w:jc w:val="center"/>
        <w:outlineLvl w:val="0"/>
        <w:rPr>
          <w:rFonts w:ascii="方正小标宋_GBK" w:eastAsia="方正小标宋_GBK"/>
          <w:sz w:val="44"/>
          <w:szCs w:val="44"/>
        </w:rPr>
      </w:pPr>
      <w:r>
        <w:rPr>
          <w:rFonts w:ascii="方正小标宋_GBK" w:eastAsia="方正小标宋_GBK"/>
          <w:sz w:val="44"/>
          <w:szCs w:val="44"/>
        </w:rPr>
        <w:t>《江苏省实施〈古树名木保护条例〉</w:t>
      </w:r>
    </w:p>
    <w:p w14:paraId="3D30E6A0">
      <w:pPr>
        <w:pStyle w:val="7"/>
        <w:jc w:val="center"/>
        <w:outlineLvl w:val="0"/>
        <w:rPr>
          <w:rFonts w:ascii="方正小标宋_GBK" w:eastAsia="方正小标宋_GBK"/>
          <w:sz w:val="44"/>
          <w:szCs w:val="44"/>
        </w:rPr>
      </w:pPr>
      <w:r>
        <w:rPr>
          <w:rFonts w:ascii="方正小标宋_GBK" w:eastAsia="方正小标宋_GBK"/>
          <w:sz w:val="44"/>
          <w:szCs w:val="44"/>
        </w:rPr>
        <w:t>办法（草案）》起草说明</w:t>
      </w:r>
    </w:p>
    <w:p w14:paraId="2FE189E4">
      <w:pPr>
        <w:pStyle w:val="7"/>
        <w:spacing w:line="560" w:lineRule="exact"/>
        <w:ind w:firstLine="560" w:firstLineChars="200"/>
        <w:rPr>
          <w:color w:val="000000"/>
          <w:sz w:val="28"/>
        </w:rPr>
      </w:pPr>
    </w:p>
    <w:p w14:paraId="284E77D4">
      <w:pPr>
        <w:pStyle w:val="7"/>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sz w:val="32"/>
          <w:szCs w:val="32"/>
        </w:rPr>
        <w:t>根据省政府办公厅《关于印发省政府2026年立法工作计划的通知》（苏政办发〔2026〕1号），《江苏省实施〈古树名木保护条例〉办法》（以下简称《</w:t>
      </w:r>
      <w:r>
        <w:rPr>
          <w:rFonts w:ascii="Times New Roman" w:hAnsi="Times New Roman" w:eastAsia="方正仿宋_GBK" w:cs="Times New Roman"/>
          <w:color w:val="000000"/>
          <w:sz w:val="32"/>
          <w:szCs w:val="32"/>
        </w:rPr>
        <w:t>实施</w:t>
      </w:r>
      <w:r>
        <w:rPr>
          <w:rFonts w:hint="default" w:ascii="Times New Roman" w:hAnsi="Times New Roman" w:eastAsia="方正仿宋_GBK" w:cs="Times New Roman"/>
          <w:color w:val="000000"/>
          <w:sz w:val="32"/>
          <w:szCs w:val="32"/>
        </w:rPr>
        <w:t>办法》）被列入2026年立法计划正式项目，由省林业局与省住建厅联合起草。根据立法工作计划，省林业局与省住建厅多次组织开展立法调研、召开座谈会，广泛听取专家学者、基层单位的意见建议，并经多次研究、修改、完善，形成《</w:t>
      </w:r>
      <w:r>
        <w:rPr>
          <w:rFonts w:ascii="Times New Roman" w:hAnsi="Times New Roman" w:eastAsia="方正仿宋_GBK" w:cs="Times New Roman"/>
          <w:color w:val="000000"/>
          <w:sz w:val="32"/>
          <w:szCs w:val="32"/>
        </w:rPr>
        <w:t>实施</w:t>
      </w:r>
      <w:r>
        <w:rPr>
          <w:rFonts w:hint="default" w:ascii="Times New Roman" w:hAnsi="Times New Roman" w:eastAsia="方正仿宋_GBK" w:cs="Times New Roman"/>
          <w:color w:val="000000"/>
          <w:sz w:val="32"/>
          <w:szCs w:val="32"/>
        </w:rPr>
        <w:t>办法（草案）》。起草情况说明如下：</w:t>
      </w:r>
    </w:p>
    <w:p w14:paraId="763AC3A8">
      <w:pPr>
        <w:pStyle w:val="7"/>
        <w:spacing w:line="580" w:lineRule="exact"/>
        <w:ind w:firstLine="800" w:firstLineChars="250"/>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一、立法的必要性</w:t>
      </w:r>
    </w:p>
    <w:p w14:paraId="6545263C">
      <w:pPr>
        <w:pStyle w:val="7"/>
        <w:spacing w:line="580" w:lineRule="exact"/>
        <w:ind w:firstLine="480" w:firstLineChars="150"/>
        <w:rPr>
          <w:rFonts w:ascii="Times New Roman" w:hAnsi="Times New Roman" w:eastAsia="方正仿宋_GBK" w:cs="Times New Roman"/>
          <w:color w:val="000000"/>
          <w:sz w:val="32"/>
          <w:szCs w:val="32"/>
        </w:rPr>
      </w:pPr>
      <w:r>
        <w:rPr>
          <w:rFonts w:hint="default" w:ascii="Times New Roman" w:hAnsi="Times New Roman" w:eastAsia="方正楷体_GBK" w:cs="Times New Roman"/>
          <w:bCs/>
          <w:color w:val="000000"/>
          <w:sz w:val="32"/>
          <w:szCs w:val="32"/>
        </w:rPr>
        <w:t>一是贯彻落实国家战略部署与国务院行政法规的必然要求。</w:t>
      </w:r>
      <w:r>
        <w:rPr>
          <w:rFonts w:hint="default" w:ascii="Times New Roman" w:hAnsi="Times New Roman" w:eastAsia="方正仿宋_GBK" w:cs="Times New Roman"/>
          <w:color w:val="000000"/>
          <w:sz w:val="32"/>
          <w:szCs w:val="32"/>
        </w:rPr>
        <w:t>古树名木是极其珍贵的自然历史遗产，具有重要的历史、文化、生态等价值，习</w:t>
      </w:r>
      <w:r>
        <w:rPr>
          <w:rFonts w:hint="eastAsia" w:ascii="Times New Roman" w:hAnsi="Times New Roman" w:eastAsia="方正仿宋_GBK" w:cs="Times New Roman"/>
          <w:color w:val="000000"/>
          <w:sz w:val="32"/>
          <w:szCs w:val="32"/>
          <w:lang w:eastAsia="zh-CN"/>
        </w:rPr>
        <w:t>近平</w:t>
      </w:r>
      <w:bookmarkStart w:id="0" w:name="_GoBack"/>
      <w:bookmarkEnd w:id="0"/>
      <w:r>
        <w:rPr>
          <w:rFonts w:hint="default" w:ascii="Times New Roman" w:hAnsi="Times New Roman" w:eastAsia="方正仿宋_GBK" w:cs="Times New Roman"/>
          <w:color w:val="000000"/>
          <w:sz w:val="32"/>
          <w:szCs w:val="32"/>
        </w:rPr>
        <w:t>总书记高度重视古树名木保护，多次作出重要指示批示，强调要把古树名木保护好，把中华优秀传统文化传承好，为做好古树名木保护工作提出了根本遵循。2025年1月，国务院</w:t>
      </w:r>
      <w:r>
        <w:rPr>
          <w:rFonts w:ascii="Times New Roman" w:hAnsi="Times New Roman" w:eastAsia="方正仿宋_GBK" w:cs="Times New Roman"/>
          <w:color w:val="000000"/>
          <w:sz w:val="32"/>
          <w:szCs w:val="32"/>
        </w:rPr>
        <w:t>出台</w:t>
      </w:r>
      <w:r>
        <w:rPr>
          <w:rFonts w:hint="default" w:ascii="Times New Roman" w:hAnsi="Times New Roman" w:eastAsia="方正仿宋_GBK" w:cs="Times New Roman"/>
          <w:color w:val="000000"/>
          <w:sz w:val="32"/>
          <w:szCs w:val="32"/>
        </w:rPr>
        <w:t>《古树名木保护条例》，标志着古树名木保护工作进入了法治化、规范化的新阶段，为</w:t>
      </w:r>
      <w:r>
        <w:rPr>
          <w:rFonts w:ascii="Times New Roman" w:hAnsi="Times New Roman" w:eastAsia="方正仿宋_GBK" w:cs="Times New Roman"/>
          <w:color w:val="000000"/>
          <w:sz w:val="32"/>
          <w:szCs w:val="32"/>
        </w:rPr>
        <w:t>古树名木</w:t>
      </w:r>
      <w:r>
        <w:rPr>
          <w:rFonts w:hint="default" w:ascii="Times New Roman" w:hAnsi="Times New Roman" w:eastAsia="方正仿宋_GBK" w:cs="Times New Roman"/>
          <w:color w:val="000000"/>
          <w:sz w:val="32"/>
          <w:szCs w:val="32"/>
        </w:rPr>
        <w:t>保护工作提供了基本法律遵循。然而，国家立法具有原则性和普遍适用性的特点，其有效实施有赖于地方结合自身实际予以细化和落实，</w:t>
      </w:r>
      <w:r>
        <w:rPr>
          <w:rFonts w:ascii="Times New Roman" w:hAnsi="Times New Roman" w:eastAsia="方正仿宋_GBK" w:cs="Times New Roman"/>
          <w:color w:val="000000"/>
          <w:sz w:val="32"/>
          <w:szCs w:val="32"/>
        </w:rPr>
        <w:t>比如，认定程序、城乡界限划分、保护管理主管部门和日常养护责任单位（人）责任明确等，因此，制定符合江苏实际的政府规章，推动江苏古树名木保护工作法治化、规范化，十分必要。</w:t>
      </w:r>
    </w:p>
    <w:p w14:paraId="3497A65E">
      <w:pPr>
        <w:pStyle w:val="7"/>
        <w:spacing w:line="580" w:lineRule="exact"/>
        <w:ind w:firstLine="480" w:firstLineChars="150"/>
        <w:rPr>
          <w:rFonts w:hint="default" w:ascii="Times New Roman" w:hAnsi="Times New Roman" w:eastAsia="方正仿宋_GBK" w:cs="Times New Roman"/>
          <w:color w:val="000000"/>
          <w:sz w:val="32"/>
          <w:szCs w:val="32"/>
        </w:rPr>
      </w:pPr>
      <w:r>
        <w:rPr>
          <w:rFonts w:ascii="Times New Roman" w:hAnsi="Times New Roman" w:eastAsia="方正楷体_GBK" w:cs="Times New Roman"/>
          <w:bCs/>
          <w:color w:val="000000"/>
          <w:sz w:val="32"/>
          <w:szCs w:val="32"/>
        </w:rPr>
        <w:t>二</w:t>
      </w:r>
      <w:r>
        <w:rPr>
          <w:rFonts w:hint="default" w:ascii="Times New Roman" w:hAnsi="Times New Roman" w:eastAsia="方正楷体_GBK" w:cs="Times New Roman"/>
          <w:bCs/>
          <w:color w:val="000000"/>
          <w:sz w:val="32"/>
          <w:szCs w:val="32"/>
        </w:rPr>
        <w:t>是应对我省古树名木资源保护管理复杂局面的客观要求。</w:t>
      </w:r>
      <w:r>
        <w:rPr>
          <w:rFonts w:hint="default" w:ascii="Times New Roman" w:hAnsi="Times New Roman" w:eastAsia="方正仿宋_GBK" w:cs="Times New Roman"/>
          <w:color w:val="000000"/>
          <w:sz w:val="32"/>
          <w:szCs w:val="32"/>
        </w:rPr>
        <w:t>江苏省历史悠久，人文荟萃，古树名木资源丰富，分布广泛，种类多样。这些珍贵的活文物、活化石不仅具有极高的生态价值，还承载着深厚的历史文化</w:t>
      </w:r>
      <w:r>
        <w:rPr>
          <w:rFonts w:hint="default" w:ascii="Times New Roman" w:hAnsi="Times New Roman" w:eastAsia="方正仿宋_GBK" w:cs="Times New Roman"/>
          <w:color w:val="000000"/>
          <w:sz w:val="32"/>
          <w:szCs w:val="32"/>
          <w:lang w:val="en-US"/>
        </w:rPr>
        <w:t>信息</w:t>
      </w:r>
      <w:r>
        <w:rPr>
          <w:rFonts w:hint="default" w:ascii="Times New Roman" w:hAnsi="Times New Roman" w:eastAsia="方正仿宋_GBK" w:cs="Times New Roman"/>
          <w:color w:val="000000"/>
          <w:sz w:val="32"/>
          <w:szCs w:val="32"/>
        </w:rPr>
        <w:t>。然而，我省古树名木保护管理工作面临诸多特殊性与复杂性：一是资源底数与管理情况存在地域差异，苏南、苏中、苏北在古树存量、生长环境、管护水平上不尽相同；二是随着城乡建设的快速发展，古树名木生存空间受到挤压，违法移植、砍伐或者破坏其生长环境的现象时有发生；三是保护责任体系尚未完全厘清，存在管理部门交叉、职责边界模糊的情况，导致部分古</w:t>
      </w:r>
      <w:r>
        <w:rPr>
          <w:rFonts w:hint="eastAsia" w:ascii="Times New Roman" w:hAnsi="Times New Roman" w:eastAsia="方正仿宋_GBK" w:cs="Times New Roman"/>
          <w:color w:val="000000"/>
          <w:sz w:val="32"/>
          <w:szCs w:val="32"/>
        </w:rPr>
        <w:t>树陷入“多头管理”或者“无人负责”的困境；四是保护资金</w:t>
      </w:r>
      <w:r>
        <w:rPr>
          <w:rFonts w:hint="default" w:ascii="Times New Roman" w:hAnsi="Times New Roman" w:eastAsia="方正仿宋_GBK" w:cs="Times New Roman"/>
          <w:color w:val="000000"/>
          <w:sz w:val="32"/>
          <w:szCs w:val="32"/>
        </w:rPr>
        <w:t>投入机制不够健全，日常养护、复壮抢救、技术研究等经费保障不足；五是社会公众的保护意识与参与渠道有待进一步拓宽和规范。上述问题的存在，单纯依靠国务院《古树名木保护条例》的原则性规定难以系统、有效地解决，亟需通过制定符合我省省情的《实施办法》，针对性地构建起权责清晰、措施具体、保障有力的地方性保护管理制度。</w:t>
      </w:r>
    </w:p>
    <w:p w14:paraId="1BF2A9B3">
      <w:pPr>
        <w:pStyle w:val="7"/>
        <w:spacing w:line="58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楷体_GBK" w:cs="Times New Roman"/>
          <w:bCs/>
          <w:color w:val="000000"/>
          <w:sz w:val="32"/>
          <w:szCs w:val="32"/>
        </w:rPr>
        <w:t>三是服务全省发展战略、推动绿色高质量发展的内在需要。</w:t>
      </w:r>
      <w:r>
        <w:rPr>
          <w:rFonts w:hint="default" w:ascii="Times New Roman" w:hAnsi="Times New Roman" w:eastAsia="方正仿宋_GBK" w:cs="Times New Roman"/>
          <w:color w:val="000000"/>
          <w:sz w:val="32"/>
          <w:szCs w:val="32"/>
        </w:rPr>
        <w:t>古树名木是生态文明建设的重要载体，是历史文化传承的生动见证，也是美丽江苏建设的宝贵资源。加强古树名木保护，与我省践行“绿水青山就是金山银山”理念、全面推进乡村振兴、建设美丽江苏的重大战略部署高度契合。《实施办法》制定为我省在高质量发展中推进人与自然和谐共生的现代化提供坚实的法治支撑。</w:t>
      </w:r>
    </w:p>
    <w:p w14:paraId="366593DD">
      <w:pPr>
        <w:pStyle w:val="7"/>
        <w:spacing w:line="58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sz w:val="32"/>
          <w:szCs w:val="32"/>
        </w:rPr>
        <w:t>制定《实施办法》江苏省政府规章，是依法行政、落实国家法律的必然要求，是破解我省古树名木保护管理难题、提升治理效能的现实需要，是完善保护体系、压实保护责任的制度保障，也是服务全省发展大局、建设美丽江苏的战略举措。</w:t>
      </w:r>
    </w:p>
    <w:p w14:paraId="6E034943">
      <w:pPr>
        <w:pStyle w:val="7"/>
        <w:ind w:firstLine="640" w:firstLineChars="200"/>
        <w:rPr>
          <w:rFonts w:hint="default"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二、</w:t>
      </w:r>
      <w:r>
        <w:rPr>
          <w:rFonts w:hint="default" w:ascii="Times New Roman" w:hAnsi="Times New Roman" w:eastAsia="方正黑体_GBK" w:cs="Times New Roman"/>
          <w:color w:val="000000"/>
          <w:sz w:val="32"/>
          <w:szCs w:val="32"/>
        </w:rPr>
        <w:t>起草过程（立法程序尚未完成）</w:t>
      </w:r>
    </w:p>
    <w:p w14:paraId="692F8415">
      <w:pPr>
        <w:pStyle w:val="7"/>
        <w:spacing w:line="580" w:lineRule="exact"/>
        <w:ind w:firstLine="561"/>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省林业局高度重视本项省政府规章立法，会同住建厅，于2026年1月份成立了起草小组，制定了具体工作方案，全面启动《实施办法》立法工作。</w:t>
      </w:r>
      <w:r>
        <w:rPr>
          <w:rFonts w:hint="eastAsia" w:ascii="Times New Roman" w:hAnsi="Times New Roman" w:eastAsia="方正仿宋_GBK" w:cs="Times New Roman"/>
          <w:color w:val="000000"/>
          <w:sz w:val="32"/>
          <w:szCs w:val="32"/>
        </w:rPr>
        <w:t>首先立法调研：</w:t>
      </w:r>
      <w:r>
        <w:rPr>
          <w:rFonts w:hint="default" w:ascii="Times New Roman" w:hAnsi="Times New Roman" w:eastAsia="方正仿宋_GBK" w:cs="Times New Roman"/>
          <w:color w:val="000000"/>
          <w:sz w:val="32"/>
          <w:szCs w:val="32"/>
        </w:rPr>
        <w:t>一是向基层征求立法建议，共收到基层反馈的立法建议71条；二是全面梳理本次立法依据和参照的法律法规以及政策文件，梳理归集《实施办法》依据参照资料汇编；三是进行立法前调研，起草小组于2026年2月4日、5日，赴苏州、淮安两地，通过</w:t>
      </w:r>
      <w:r>
        <w:rPr>
          <w:rFonts w:ascii="Times New Roman" w:hAnsi="Times New Roman" w:eastAsia="方正仿宋_GBK" w:cs="Times New Roman"/>
          <w:color w:val="000000"/>
          <w:sz w:val="32"/>
          <w:szCs w:val="32"/>
        </w:rPr>
        <w:t>召开</w:t>
      </w:r>
      <w:r>
        <w:rPr>
          <w:rFonts w:hint="default" w:ascii="Times New Roman" w:hAnsi="Times New Roman" w:eastAsia="方正仿宋_GBK" w:cs="Times New Roman"/>
          <w:color w:val="000000"/>
          <w:sz w:val="32"/>
          <w:szCs w:val="32"/>
        </w:rPr>
        <w:t>座谈会、实地考察、资料收集等方式进行调研。其次，起草小组拟制《实施办法（草案）》初稿，并于3月5日、20日集中讨论研究初稿条款，经过</w:t>
      </w:r>
      <w:r>
        <w:rPr>
          <w:rFonts w:hint="default" w:ascii="Times New Roman" w:hAnsi="Times New Roman" w:eastAsia="方正仿宋_GBK" w:cs="Times New Roman"/>
          <w:color w:val="000000"/>
          <w:sz w:val="32"/>
          <w:szCs w:val="32"/>
          <w:lang w:val="en-US"/>
        </w:rPr>
        <w:t>多轮</w:t>
      </w:r>
      <w:r>
        <w:rPr>
          <w:rFonts w:hint="default" w:ascii="Times New Roman" w:hAnsi="Times New Roman" w:eastAsia="方正仿宋_GBK" w:cs="Times New Roman"/>
          <w:color w:val="000000"/>
          <w:sz w:val="32"/>
          <w:szCs w:val="32"/>
        </w:rPr>
        <w:t>修改，于2026年3月27日形成《实施办法（草案）》初稿，</w:t>
      </w:r>
      <w:r>
        <w:rPr>
          <w:rFonts w:hint="default" w:ascii="Times New Roman" w:hAnsi="Times New Roman" w:eastAsia="方正仿宋_GBK" w:cs="Times New Roman"/>
          <w:color w:val="000000"/>
          <w:sz w:val="32"/>
          <w:szCs w:val="32"/>
          <w:lang w:val="en-US"/>
        </w:rPr>
        <w:t>并</w:t>
      </w:r>
      <w:r>
        <w:rPr>
          <w:rFonts w:hint="default" w:ascii="Times New Roman" w:hAnsi="Times New Roman" w:eastAsia="方正仿宋_GBK" w:cs="Times New Roman"/>
          <w:color w:val="000000"/>
          <w:sz w:val="32"/>
          <w:szCs w:val="32"/>
        </w:rPr>
        <w:t>向全省林业部门、</w:t>
      </w:r>
      <w:r>
        <w:rPr>
          <w:rFonts w:ascii="Times New Roman" w:hAnsi="Times New Roman" w:eastAsia="方正仿宋_GBK" w:cs="Times New Roman"/>
          <w:color w:val="000000"/>
          <w:sz w:val="32"/>
          <w:szCs w:val="32"/>
        </w:rPr>
        <w:t>城市</w:t>
      </w:r>
      <w:r>
        <w:rPr>
          <w:rFonts w:hint="default" w:ascii="Times New Roman" w:hAnsi="Times New Roman" w:eastAsia="方正仿宋_GBK" w:cs="Times New Roman"/>
          <w:color w:val="000000"/>
          <w:sz w:val="32"/>
          <w:szCs w:val="32"/>
        </w:rPr>
        <w:t>园林绿化部门征求意见，后对征集的意见进行梳理、集中讨论研究是否采纳，并对草案文本再次修改完善后，形成了部门征求意见稿和专家咨询论证稿，共</w:t>
      </w:r>
      <w:r>
        <w:rPr>
          <w:rFonts w:hint="default" w:ascii="Times New Roman" w:hAnsi="Times New Roman" w:eastAsia="方正仿宋_GBK" w:cs="Times New Roman"/>
          <w:color w:val="000000"/>
          <w:sz w:val="32"/>
          <w:szCs w:val="32"/>
          <w:lang w:val="en-US"/>
        </w:rPr>
        <w:t>搜</w:t>
      </w:r>
      <w:r>
        <w:rPr>
          <w:rFonts w:hint="default" w:ascii="Times New Roman" w:hAnsi="Times New Roman" w:eastAsia="方正仿宋_GBK" w:cs="Times New Roman"/>
          <w:color w:val="000000"/>
          <w:sz w:val="32"/>
          <w:szCs w:val="32"/>
        </w:rPr>
        <w:t>集14个省级部门共6条意见，全部吸收采纳。于4月23日下午，在省林业局召开由古树名木专家、基层管理代表、法律人士组成的专家咨询会，对各专家提出的意见，经集中研究讨论，专家有效意见均被吸收采纳，形成了现在的草案文本，后面还</w:t>
      </w:r>
      <w:r>
        <w:rPr>
          <w:rFonts w:ascii="Times New Roman" w:hAnsi="Times New Roman" w:eastAsia="方正仿宋_GBK" w:cs="Times New Roman"/>
          <w:color w:val="000000"/>
          <w:sz w:val="32"/>
          <w:szCs w:val="32"/>
        </w:rPr>
        <w:t>要开展</w:t>
      </w:r>
      <w:r>
        <w:rPr>
          <w:rFonts w:hint="default" w:ascii="Times New Roman" w:hAnsi="Times New Roman" w:eastAsia="方正仿宋_GBK" w:cs="Times New Roman"/>
          <w:color w:val="000000"/>
          <w:sz w:val="32"/>
          <w:szCs w:val="32"/>
        </w:rPr>
        <w:t>向社会公开征求意见、起草单位合法性审查等</w:t>
      </w:r>
      <w:r>
        <w:rPr>
          <w:rFonts w:ascii="Times New Roman" w:hAnsi="Times New Roman" w:eastAsia="方正仿宋_GBK" w:cs="Times New Roman"/>
          <w:color w:val="000000"/>
          <w:sz w:val="32"/>
          <w:szCs w:val="32"/>
        </w:rPr>
        <w:t>工作</w:t>
      </w:r>
      <w:r>
        <w:rPr>
          <w:rFonts w:hint="default" w:ascii="Times New Roman" w:hAnsi="Times New Roman" w:eastAsia="方正仿宋_GBK" w:cs="Times New Roman"/>
          <w:color w:val="000000"/>
          <w:sz w:val="32"/>
          <w:szCs w:val="32"/>
        </w:rPr>
        <w:t>。</w:t>
      </w:r>
    </w:p>
    <w:p w14:paraId="2C901359">
      <w:pPr>
        <w:pStyle w:val="7"/>
        <w:spacing w:line="580" w:lineRule="exact"/>
        <w:ind w:firstLine="561"/>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起草过程中，起草小组坚持科学立法、民主立法、依法立法的原则，</w:t>
      </w:r>
      <w:r>
        <w:rPr>
          <w:rFonts w:hint="default" w:ascii="Times New Roman" w:hAnsi="Times New Roman" w:eastAsia="方正仿宋_GBK" w:cs="Times New Roman"/>
          <w:color w:val="000000"/>
          <w:sz w:val="32"/>
          <w:szCs w:val="32"/>
          <w:lang w:val="en-US"/>
        </w:rPr>
        <w:t>深入</w:t>
      </w:r>
      <w:r>
        <w:rPr>
          <w:rFonts w:hint="default" w:ascii="Times New Roman" w:hAnsi="Times New Roman" w:eastAsia="方正仿宋_GBK" w:cs="Times New Roman"/>
          <w:color w:val="000000"/>
          <w:sz w:val="32"/>
          <w:szCs w:val="32"/>
        </w:rPr>
        <w:t>开展立法调研，广泛听取基层单位、相关部门、专家学者意见，坚持与《中华人民共和国森林法》、国务院《古树名木保护条例》等相关法律法规做好衔接，遵循国务院《规章制定程序条例》，确保其合法性、协调性与可执行性。</w:t>
      </w:r>
    </w:p>
    <w:p w14:paraId="47CDBC18">
      <w:pPr>
        <w:pStyle w:val="7"/>
        <w:ind w:firstLine="640" w:firstLineChars="200"/>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三、《实施办法（草案）》主要内容</w:t>
      </w:r>
    </w:p>
    <w:p w14:paraId="14C7971D">
      <w:pPr>
        <w:pStyle w:val="7"/>
        <w:spacing w:line="58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sz w:val="32"/>
          <w:szCs w:val="32"/>
        </w:rPr>
        <w:t>《实施办法（草案）》共六章四十一条，在遵循上位法的基础上，重点对我省古树名木保护管理的体制机制、保护养护责任落实、具体措施、保障监督等作了细化规定。</w:t>
      </w:r>
    </w:p>
    <w:p w14:paraId="1A577B02">
      <w:pPr>
        <w:pStyle w:val="7"/>
        <w:spacing w:line="580" w:lineRule="exact"/>
        <w:ind w:firstLine="640" w:firstLineChars="200"/>
        <w:rPr>
          <w:rFonts w:hint="default" w:ascii="Times New Roman" w:hAnsi="Times New Roman" w:eastAsia="方正仿宋_GBK" w:cs="Times New Roman"/>
          <w:sz w:val="32"/>
          <w:szCs w:val="32"/>
        </w:rPr>
      </w:pPr>
      <w:r>
        <w:rPr>
          <w:rFonts w:ascii="方正楷体_GBK" w:hAnsi="Times New Roman" w:eastAsia="方正楷体_GBK" w:cs="Times New Roman"/>
          <w:color w:val="000000"/>
          <w:sz w:val="32"/>
          <w:szCs w:val="32"/>
        </w:rPr>
        <w:t>（一）健全管理体制，明确各方职责。</w:t>
      </w:r>
      <w:r>
        <w:rPr>
          <w:rFonts w:hint="eastAsia" w:ascii="Times New Roman" w:hAnsi="Times New Roman" w:eastAsia="方正仿宋_GBK" w:cs="Times New Roman"/>
          <w:color w:val="000000"/>
          <w:sz w:val="32"/>
          <w:szCs w:val="32"/>
        </w:rPr>
        <w:t>草案第三条重申了“保护第一、科学管护、分级管理、合理利用”的原则，并构建了“政府主导、属地负责、部门协同、社会参与”的工作</w:t>
      </w:r>
      <w:r>
        <w:rPr>
          <w:rFonts w:hint="default" w:ascii="Times New Roman" w:hAnsi="Times New Roman" w:eastAsia="方正仿宋_GBK" w:cs="Times New Roman"/>
          <w:color w:val="000000"/>
          <w:sz w:val="32"/>
          <w:szCs w:val="32"/>
        </w:rPr>
        <w:t>机制。第四条、第五条明确了县级以上人民政府的组织领导职责，以及林业、城市绿化主管部门按照城区内外分工负责的主管职责，同时规定了民族宗教、公安、财政、自然资源等有关部门的职责，形成了齐抓共管的工作格局。第六条、第七条鼓励科研推广、宣传教育和社会参与，旨在凝聚全社会保护共识。</w:t>
      </w:r>
    </w:p>
    <w:p w14:paraId="7427A992">
      <w:pPr>
        <w:pStyle w:val="7"/>
        <w:spacing w:line="580" w:lineRule="exact"/>
        <w:ind w:firstLine="640" w:firstLineChars="200"/>
        <w:rPr>
          <w:rFonts w:hint="default" w:ascii="Times New Roman" w:hAnsi="Times New Roman" w:eastAsia="方正仿宋_GBK" w:cs="Times New Roman"/>
          <w:sz w:val="32"/>
          <w:szCs w:val="32"/>
        </w:rPr>
      </w:pPr>
      <w:r>
        <w:rPr>
          <w:rFonts w:ascii="方正楷体_GBK" w:hAnsi="Times New Roman" w:eastAsia="方正楷体_GBK" w:cs="Times New Roman"/>
          <w:color w:val="000000"/>
          <w:sz w:val="32"/>
          <w:szCs w:val="32"/>
        </w:rPr>
        <w:t>（二）细化保护措施，实施科学管理。</w:t>
      </w:r>
      <w:r>
        <w:rPr>
          <w:rFonts w:hint="default" w:ascii="Times New Roman" w:hAnsi="Times New Roman" w:eastAsia="方正仿宋_GBK" w:cs="Times New Roman"/>
          <w:color w:val="000000"/>
          <w:sz w:val="32"/>
          <w:szCs w:val="32"/>
        </w:rPr>
        <w:t>草案第八条至第十三条系统规定了保护的具体制度。一是明确了古树三级保护标准和名木一级保护标准，并创新性地提出对树龄八十年以上不满一百年的树木作为“古树后备资源”建立档案（第八条），体现了</w:t>
      </w:r>
      <w:r>
        <w:rPr>
          <w:rFonts w:hint="default" w:ascii="Times New Roman" w:hAnsi="Times New Roman" w:eastAsia="方正仿宋_GBK" w:cs="Times New Roman"/>
          <w:color w:val="000000"/>
          <w:sz w:val="32"/>
          <w:szCs w:val="32"/>
          <w:lang w:val="en-US"/>
        </w:rPr>
        <w:t>预防性</w:t>
      </w:r>
      <w:r>
        <w:rPr>
          <w:rFonts w:hint="default" w:ascii="Times New Roman" w:hAnsi="Times New Roman" w:eastAsia="方正仿宋_GBK" w:cs="Times New Roman"/>
          <w:color w:val="000000"/>
          <w:sz w:val="32"/>
          <w:szCs w:val="32"/>
        </w:rPr>
        <w:t>保护理念。二是规范了普查、补充调查、认定、公布、建档、划定保护范围和设立保护标志和的全流程管理（第九条至第十三条），确保底数清、情况明、保护到位。三是在严格保护的前提下，第十四条至第十六条倡导对古树名木资源进行合理利用，支持科学研究、种质资源保存，鼓励建设古树名木公园、保护小区，促进生态价值转化。</w:t>
      </w:r>
    </w:p>
    <w:p w14:paraId="7C25C96A">
      <w:pPr>
        <w:pStyle w:val="7"/>
        <w:spacing w:line="580" w:lineRule="exact"/>
        <w:ind w:firstLine="640" w:firstLineChars="200"/>
        <w:rPr>
          <w:rFonts w:hint="default" w:ascii="Times New Roman" w:hAnsi="Times New Roman" w:eastAsia="方正仿宋_GBK" w:cs="Times New Roman"/>
          <w:sz w:val="32"/>
          <w:szCs w:val="32"/>
        </w:rPr>
      </w:pPr>
      <w:r>
        <w:rPr>
          <w:rFonts w:ascii="方正楷体_GBK" w:hAnsi="Times New Roman" w:eastAsia="方正楷体_GBK" w:cs="Times New Roman"/>
          <w:color w:val="000000"/>
          <w:sz w:val="32"/>
          <w:szCs w:val="32"/>
        </w:rPr>
        <w:t>（三）强化养护责任，规范管理行为。</w:t>
      </w:r>
      <w:r>
        <w:rPr>
          <w:rFonts w:hint="default" w:ascii="Times New Roman" w:hAnsi="Times New Roman" w:eastAsia="方正仿宋_GBK" w:cs="Times New Roman"/>
          <w:color w:val="000000"/>
          <w:sz w:val="32"/>
          <w:szCs w:val="32"/>
        </w:rPr>
        <w:t>草案第十七条至第三十条对养护与管理作出了详尽规定。一是确立了养护的基本要求（第十七条）；二是通过列举方式明确了不同情形下日常养护责任人的确定规则（第十八条），并规定了日常养护人异常情况报告的义务（第十九条），确保责任落到实处；三是建立了分级巡查制度，鼓励运用现代技术手段进行动态监控（第二十一条）；四是设立了古树名木健康评估和特殊情况保护制度（第二十二条、第二十三条）；五是严格禁止采伐与限制移植，明确了移植例外情形下的审批程序和技术论证要求（第二十四条至第二十六条）；六是专门设立了古树名木的退出机制（第二十七条）；七是专条规定了建设项目应避让保护范围及相应的协调要求（第二十八条），并对保护范围内既有影响物的治理作出了安排（第二十九条）；八是以列举方式明确了禁止实施的各类损害行为（第三十条），为执法提供了清晰依据。</w:t>
      </w:r>
    </w:p>
    <w:p w14:paraId="445D6191">
      <w:pPr>
        <w:pStyle w:val="7"/>
        <w:spacing w:line="580" w:lineRule="exact"/>
        <w:ind w:firstLine="640" w:firstLineChars="200"/>
        <w:rPr>
          <w:rFonts w:hint="default" w:ascii="Times New Roman" w:hAnsi="Times New Roman" w:eastAsia="方正仿宋_GBK" w:cs="Times New Roman"/>
          <w:sz w:val="32"/>
          <w:szCs w:val="32"/>
        </w:rPr>
      </w:pPr>
      <w:r>
        <w:rPr>
          <w:rFonts w:ascii="方正楷体_GBK" w:hAnsi="Times New Roman" w:eastAsia="方正楷体_GBK" w:cs="Times New Roman"/>
          <w:color w:val="000000"/>
          <w:sz w:val="32"/>
          <w:szCs w:val="32"/>
        </w:rPr>
        <w:t>（四）完善保障监督，压实保护责任。</w:t>
      </w:r>
      <w:r>
        <w:rPr>
          <w:rFonts w:hint="default" w:ascii="Times New Roman" w:hAnsi="Times New Roman" w:eastAsia="方正仿宋_GBK" w:cs="Times New Roman"/>
          <w:color w:val="000000"/>
          <w:sz w:val="32"/>
          <w:szCs w:val="32"/>
        </w:rPr>
        <w:t>草案第三十一条至第三十八条着力构建有力的保障与监督体系。一是明确将保护管理经费纳入本级预算，并规定可对养护责任人给予补助，支持开展古树名木保险（第三十一条）；二是依据《古树名木保护条例》第十一条，重申因公共利益造成权利人损害应当依法给予补偿（第三十二条）；三是规定建立专家库、加强专业培训（第三十三条、第三十四条）；四是赋予主管部门必要的监督检查权和强制措施（第三十五条）；五是推动建立联合执法协作机制（第三十六条）；六是创新性地提出将古树名木保护纳入目标责任制、林长制考核，并建立约谈制度和离任审计制度（第三十七条、第三十八条），层层压实各级领导干部的保护责任。</w:t>
      </w:r>
    </w:p>
    <w:p w14:paraId="4C75EBDF">
      <w:pPr>
        <w:pStyle w:val="7"/>
        <w:spacing w:line="580" w:lineRule="exact"/>
        <w:ind w:firstLine="640" w:firstLineChars="200"/>
        <w:rPr>
          <w:rFonts w:hint="eastAsia" w:ascii="Times New Roman" w:hAnsi="Times New Roman" w:eastAsia="方正仿宋_GBK" w:cs="Times New Roman"/>
          <w:sz w:val="32"/>
          <w:szCs w:val="32"/>
        </w:rPr>
      </w:pPr>
      <w:r>
        <w:rPr>
          <w:rFonts w:ascii="方正楷体_GBK" w:hAnsi="Times New Roman" w:eastAsia="方正楷体_GBK" w:cs="Times New Roman"/>
          <w:color w:val="000000"/>
          <w:sz w:val="32"/>
          <w:szCs w:val="32"/>
        </w:rPr>
        <w:t>（五）衔接法律责任，确保行政法规刚性。</w:t>
      </w:r>
      <w:r>
        <w:rPr>
          <w:rFonts w:hint="eastAsia" w:ascii="Times New Roman" w:hAnsi="Times New Roman" w:eastAsia="方正仿宋_GBK" w:cs="Times New Roman"/>
          <w:color w:val="000000"/>
          <w:sz w:val="32"/>
          <w:szCs w:val="32"/>
        </w:rPr>
        <w:t>草案第三十九条、第四十条对法律责任作出了规定。鉴于上位法《古树名木保护条例》已对违法行为设置了相应罚则，本办法第三十九条采用指引性条款，明确“从其规定”，保持了法律体系的统一。第四十条则对政府部门工作人员履职不当的法律责任作出了重申，旨在督促依法履职。</w:t>
      </w:r>
    </w:p>
    <w:p w14:paraId="1C05A8BB">
      <w:pPr>
        <w:pStyle w:val="7"/>
        <w:spacing w:line="580" w:lineRule="exact"/>
        <w:ind w:firstLine="640" w:firstLineChars="200"/>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四、需要说明的几个问题</w:t>
      </w:r>
    </w:p>
    <w:p w14:paraId="0FEAD737">
      <w:pPr>
        <w:pStyle w:val="7"/>
        <w:spacing w:line="580" w:lineRule="exact"/>
        <w:ind w:firstLine="640" w:firstLineChars="200"/>
        <w:rPr>
          <w:rFonts w:hint="default" w:ascii="Times New Roman" w:hAnsi="Times New Roman" w:eastAsia="方正仿宋_GBK" w:cs="Times New Roman"/>
          <w:sz w:val="32"/>
          <w:szCs w:val="32"/>
        </w:rPr>
      </w:pPr>
      <w:r>
        <w:rPr>
          <w:rFonts w:ascii="方正楷体_GBK" w:hAnsi="Times New Roman" w:eastAsia="方正楷体_GBK" w:cs="Times New Roman"/>
          <w:color w:val="000000"/>
          <w:sz w:val="32"/>
          <w:szCs w:val="32"/>
        </w:rPr>
        <w:t>（一）关于地方特色与制度创新。</w:t>
      </w:r>
      <w:r>
        <w:rPr>
          <w:rFonts w:hint="default" w:ascii="Times New Roman" w:hAnsi="Times New Roman" w:eastAsia="方正仿宋_GBK" w:cs="Times New Roman"/>
          <w:color w:val="000000"/>
          <w:sz w:val="32"/>
          <w:szCs w:val="32"/>
        </w:rPr>
        <w:t>《实施办法（草案）》在全面落实上位法的基础上，结合江苏实际进行了一系列细化与创新。例如，</w:t>
      </w:r>
      <w:r>
        <w:rPr>
          <w:rFonts w:ascii="Times New Roman" w:hAnsi="Times New Roman" w:eastAsia="方正仿宋_GBK" w:cs="Times New Roman"/>
          <w:color w:val="000000"/>
          <w:sz w:val="32"/>
          <w:szCs w:val="32"/>
        </w:rPr>
        <w:t>明确了城乡边界划分，统一了县（市、区）级以上古树名木主管部门，</w:t>
      </w:r>
      <w:r>
        <w:rPr>
          <w:rFonts w:hint="default" w:ascii="Times New Roman" w:hAnsi="Times New Roman" w:eastAsia="方正仿宋_GBK" w:cs="Times New Roman"/>
          <w:color w:val="000000"/>
          <w:sz w:val="32"/>
          <w:szCs w:val="32"/>
        </w:rPr>
        <w:t>建立“古树后备资源”档案管理制度、细化日常养护责任人确定规则、明确分级巡查频次、鼓励运用科技手段监测、建立养护补助和保险支持机制、将保护情况纳入领导干部离任审计等，都是旨在解决本省保护实践中突出问题的针对性举措，体现了地方立法的特色与价值。</w:t>
      </w:r>
    </w:p>
    <w:p w14:paraId="1185343E">
      <w:pPr>
        <w:pStyle w:val="7"/>
        <w:spacing w:line="580" w:lineRule="exact"/>
        <w:ind w:firstLine="640" w:firstLineChars="200"/>
        <w:rPr>
          <w:rFonts w:hint="default" w:ascii="Times New Roman" w:hAnsi="Times New Roman" w:eastAsia="方正仿宋_GBK" w:cs="Times New Roman"/>
          <w:sz w:val="32"/>
          <w:szCs w:val="32"/>
        </w:rPr>
      </w:pPr>
      <w:r>
        <w:rPr>
          <w:rFonts w:ascii="方正楷体_GBK" w:hAnsi="Times New Roman" w:eastAsia="方正楷体_GBK" w:cs="Times New Roman"/>
          <w:color w:val="000000"/>
          <w:sz w:val="32"/>
          <w:szCs w:val="32"/>
        </w:rPr>
        <w:t>（二）关于与上位法的衔接。</w:t>
      </w:r>
      <w:r>
        <w:rPr>
          <w:rFonts w:hint="default" w:ascii="Times New Roman" w:hAnsi="Times New Roman" w:eastAsia="方正仿宋_GBK" w:cs="Times New Roman"/>
          <w:color w:val="000000"/>
          <w:sz w:val="32"/>
          <w:szCs w:val="32"/>
        </w:rPr>
        <w:t>草案第一条明确以《中华人民共和国森林法》、国务院《古树名木保护条例》为主要法律法规依据，整体框架和核心制度均与其保持高度一致。所有具体条款的设计均在上位法授权的范围内进行，未创设减损公民、法人和其他组织权利或者增加其义务的罚则，也未超越地方立法权限设定行政许可或者行政强制，确保了法制的统一与权威。</w:t>
      </w:r>
    </w:p>
    <w:p w14:paraId="49D5ED75">
      <w:pPr>
        <w:pStyle w:val="7"/>
        <w:spacing w:line="580" w:lineRule="exact"/>
        <w:ind w:firstLine="640" w:firstLineChars="200"/>
        <w:rPr>
          <w:rFonts w:hint="default" w:ascii="Times New Roman" w:hAnsi="Times New Roman" w:eastAsia="方正仿宋_GBK" w:cs="Times New Roman"/>
          <w:sz w:val="32"/>
          <w:szCs w:val="32"/>
        </w:rPr>
      </w:pPr>
      <w:r>
        <w:rPr>
          <w:rFonts w:hint="default" w:ascii="方正楷体_GBK" w:hAnsi="Times New Roman" w:eastAsia="方正楷体_GBK" w:cs="Times New Roman"/>
          <w:color w:val="000000"/>
          <w:sz w:val="32"/>
          <w:szCs w:val="32"/>
        </w:rPr>
        <w:t>（三）关于对经济社会生态的影响。</w:t>
      </w:r>
      <w:r>
        <w:rPr>
          <w:rFonts w:hint="default" w:ascii="Times New Roman" w:hAnsi="Times New Roman" w:eastAsia="方正仿宋_GBK" w:cs="Times New Roman"/>
          <w:color w:val="000000"/>
          <w:sz w:val="32"/>
          <w:szCs w:val="32"/>
        </w:rPr>
        <w:t>本办法的制定与实施，短期内可能对部分涉及古树名木保护范围的项目建设产生一定的合规成本，但从长远看，通过规范管理、明确责任、强化保障，将有效遏制破坏行为，挽救濒危古树名木，其带来的生态效益、文化传承效益和社会效益远大于经济成本。办法中规定的补偿机制（第三十一条）也有利于平衡公共利益与个人权益。</w:t>
      </w:r>
    </w:p>
    <w:p w14:paraId="2C7B218C">
      <w:pPr>
        <w:pStyle w:val="7"/>
        <w:spacing w:line="58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sz w:val="32"/>
          <w:szCs w:val="32"/>
        </w:rPr>
        <w:t>以上说明，连同草案文本，请予以审议。</w:t>
      </w:r>
    </w:p>
    <w:p w14:paraId="144AB3DD">
      <w:pPr>
        <w:pStyle w:val="7"/>
        <w:spacing w:line="580" w:lineRule="exact"/>
        <w:rPr>
          <w:rFonts w:hint="default" w:ascii="Times New Roman" w:hAnsi="Times New Roman" w:eastAsia="方正仿宋_GBK" w:cs="Times New Roman"/>
          <w:sz w:val="32"/>
          <w:szCs w:val="32"/>
        </w:rPr>
      </w:pPr>
    </w:p>
    <w:sectPr>
      <w:headerReference r:id="rId3" w:type="default"/>
      <w:footerReference r:id="rId4" w:type="default"/>
      <w:pgSz w:w="11906" w:h="16838"/>
      <w:pgMar w:top="1440" w:right="1802" w:bottom="1440" w:left="1802"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6D40B">
    <w:pPr>
      <w:pStyle w:val="3"/>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CCA689">
                          <w:pPr>
                            <w:pStyle w:val="3"/>
                          </w:pPr>
                          <w:r>
                            <w:fldChar w:fldCharType="begin"/>
                          </w:r>
                          <w:r>
                            <w:rPr>
                              <w:rFonts w:ascii="仿宋_GB2312" w:hAnsi="仿宋_GB2312" w:eastAsia="仿宋_GB2312" w:cs="仿宋_GB2312"/>
                            </w:rPr>
                            <w:instrText xml:space="preserve"> PAGE  \* MERGEFORMAT </w:instrText>
                          </w:r>
                          <w:r>
                            <w:fldChar w:fldCharType="separate"/>
                          </w:r>
                          <w:r>
                            <w:rPr>
                              <w:rFonts w:ascii="仿宋_GB2312" w:hAnsi="仿宋_GB2312" w:eastAsia="仿宋_GB2312" w:cs="仿宋_GB2312"/>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0CCA689">
                    <w:pPr>
                      <w:pStyle w:val="3"/>
                    </w:pPr>
                    <w:r>
                      <w:fldChar w:fldCharType="begin"/>
                    </w:r>
                    <w:r>
                      <w:rPr>
                        <w:rFonts w:ascii="仿宋_GB2312" w:hAnsi="仿宋_GB2312" w:eastAsia="仿宋_GB2312" w:cs="仿宋_GB2312"/>
                      </w:rPr>
                      <w:instrText xml:space="preserve"> PAGE  \* MERGEFORMAT </w:instrText>
                    </w:r>
                    <w:r>
                      <w:fldChar w:fldCharType="separate"/>
                    </w:r>
                    <w:r>
                      <w:rPr>
                        <w:rFonts w:ascii="仿宋_GB2312" w:hAnsi="仿宋_GB2312" w:eastAsia="仿宋_GB2312" w:cs="仿宋_GB2312"/>
                      </w:rP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0B00F">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E5A6FE"/>
    <w:rsid w:val="00097F80"/>
    <w:rsid w:val="000A4287"/>
    <w:rsid w:val="000B5A9C"/>
    <w:rsid w:val="003A5301"/>
    <w:rsid w:val="0072441D"/>
    <w:rsid w:val="00C2138B"/>
    <w:rsid w:val="00D921C0"/>
    <w:rsid w:val="00E00D8E"/>
    <w:rsid w:val="00E50A72"/>
    <w:rsid w:val="00F34908"/>
    <w:rsid w:val="018838D1"/>
    <w:rsid w:val="03B63DD9"/>
    <w:rsid w:val="05325BBE"/>
    <w:rsid w:val="0BDE0CED"/>
    <w:rsid w:val="0E10224D"/>
    <w:rsid w:val="0E4B23A3"/>
    <w:rsid w:val="13A22600"/>
    <w:rsid w:val="18610981"/>
    <w:rsid w:val="233A0AA7"/>
    <w:rsid w:val="26B81A00"/>
    <w:rsid w:val="304940D8"/>
    <w:rsid w:val="315C7E3B"/>
    <w:rsid w:val="378575D7"/>
    <w:rsid w:val="3905525C"/>
    <w:rsid w:val="3B5D60F4"/>
    <w:rsid w:val="3C463BC1"/>
    <w:rsid w:val="3C8700A1"/>
    <w:rsid w:val="3D08531B"/>
    <w:rsid w:val="3E194BC1"/>
    <w:rsid w:val="3F8F2C49"/>
    <w:rsid w:val="40836B9E"/>
    <w:rsid w:val="43AF44D7"/>
    <w:rsid w:val="443B60A8"/>
    <w:rsid w:val="44A60AC3"/>
    <w:rsid w:val="4C0D64AA"/>
    <w:rsid w:val="5048347E"/>
    <w:rsid w:val="51072E77"/>
    <w:rsid w:val="5A2F1CE1"/>
    <w:rsid w:val="5BBB382C"/>
    <w:rsid w:val="5D9D5C2D"/>
    <w:rsid w:val="5EEB250F"/>
    <w:rsid w:val="5FCEC721"/>
    <w:rsid w:val="63AD48C7"/>
    <w:rsid w:val="650875E3"/>
    <w:rsid w:val="66A852F5"/>
    <w:rsid w:val="6A617C95"/>
    <w:rsid w:val="6ABFE269"/>
    <w:rsid w:val="6BFF573D"/>
    <w:rsid w:val="6F4502DF"/>
    <w:rsid w:val="706C553B"/>
    <w:rsid w:val="708A15C7"/>
    <w:rsid w:val="71626616"/>
    <w:rsid w:val="71D06542"/>
    <w:rsid w:val="79BB5AB3"/>
    <w:rsid w:val="7F010D83"/>
    <w:rsid w:val="95FF2D85"/>
    <w:rsid w:val="BFE5A6FE"/>
    <w:rsid w:val="FC5F10FF"/>
    <w:rsid w:val="FFEA56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lang w:val="en-US" w:eastAsia="en-US"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null5"/>
    <w:hidden/>
    <w:qFormat/>
    <w:uiPriority w:val="0"/>
    <w:rPr>
      <w:rFonts w:hint="eastAsia" w:ascii="仿宋_GB2312" w:hAnsi="仿宋_GB2312" w:eastAsia="仿宋_GB2312" w:cs="仿宋_GB2312"/>
      <w:sz w:val="24"/>
      <w:szCs w:val="24"/>
      <w:lang w:val="en-US" w:eastAsia="zh-CN" w:bidi="ar-SA"/>
    </w:rPr>
  </w:style>
  <w:style w:type="character" w:customStyle="1" w:styleId="8">
    <w:name w:val="批注框文本 Char"/>
    <w:basedOn w:val="6"/>
    <w:link w:val="2"/>
    <w:qFormat/>
    <w:uiPriority w:val="0"/>
    <w:rPr>
      <w:rFonts w:ascii="Calibri" w:hAnsi="Calibri"/>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3848</Words>
  <Characters>3874</Characters>
  <Lines>27</Lines>
  <Paragraphs>7</Paragraphs>
  <TotalTime>3</TotalTime>
  <ScaleCrop>false</ScaleCrop>
  <LinksUpToDate>false</LinksUpToDate>
  <CharactersWithSpaces>3874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2026-04-30T01:56:00Z</dcterms:created>
  <dc:creator>icou</dc:creator>
  <cp:lastModifiedBy>Administrator</cp:lastModifiedBy>
  <cp:lastPrinted>2026-04-30T03:15:00Z</cp:lastPrinted>
  <dcterms:modified xsi:type="dcterms:W3CDTF">2026-08-24T02:00:56Z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9B5ECFE9DD454629BB29B58878C30416_13</vt:lpwstr>
  </property>
  <property fmtid="{D5CDD505-2E9C-101B-9397-08002B2CF9AE}" pid="3" name="KSOProductBuildVer">
    <vt:lpwstr>2052-12.1.0.19302</vt:lpwstr>
  </property>
  <property fmtid="{D5CDD505-2E9C-101B-9397-08002B2CF9AE}" pid="4" name="KSOTemplateDocerSaveRecord">
    <vt:lpwstr>eyJoZGlkIjoiYzY0MmY5ZGU2YzAwMjM5ZmIzY2U0Zjk5Y2M5NWFkODEifQ==</vt:lpwstr>
  </property>
</Properties>
</file>