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spacing w:line="580" w:lineRule="exact"/>
        <w:rPr>
          <w:rFonts w:ascii="Times New Roman" w:hAnsi="Times New Roman" w:eastAsia="方正楷体_GBK" w:cs="方正楷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color w:val="auto"/>
          <w:kern w:val="0"/>
          <w:sz w:val="32"/>
          <w:szCs w:val="32"/>
          <w:highlight w:val="none"/>
          <w:lang w:eastAsia="zh-CN"/>
        </w:rPr>
        <w:t>附件</w:t>
      </w:r>
      <w:r>
        <w:rPr>
          <w:rFonts w:hint="default" w:ascii="Times New Roman" w:hAnsi="Times New Roman" w:eastAsia="方正楷体_GBK" w:cs="Times New Roman"/>
          <w:color w:val="auto"/>
          <w:kern w:val="0"/>
          <w:sz w:val="32"/>
          <w:szCs w:val="32"/>
          <w:highlight w:val="none"/>
          <w:lang w:val="en-US" w:eastAsia="zh-CN"/>
        </w:rPr>
        <w:t>2</w:t>
      </w:r>
    </w:p>
    <w:p>
      <w:pPr>
        <w:adjustRightInd w:val="0"/>
        <w:snapToGrid w:val="0"/>
        <w:spacing w:line="580" w:lineRule="exact"/>
        <w:jc w:val="center"/>
        <w:rPr>
          <w:rFonts w:hint="eastAsia"/>
        </w:rPr>
      </w:pPr>
    </w:p>
    <w:p>
      <w:pPr>
        <w:overflowPunct w:val="0"/>
        <w:adjustRightInd w:val="0"/>
        <w:snapToGrid w:val="0"/>
        <w:spacing w:line="580" w:lineRule="exact"/>
        <w:jc w:val="center"/>
        <w:rPr>
          <w:rFonts w:ascii="Times New Roman" w:hAnsi="Times New Roman" w:eastAsia="方正小标宋_GBK" w:cs="方正小标宋_GBK"/>
          <w:sz w:val="44"/>
          <w:szCs w:val="44"/>
        </w:rPr>
      </w:pPr>
      <w:r>
        <w:rPr>
          <w:rFonts w:hint="eastAsia" w:ascii="Times New Roman" w:hAnsi="Times New Roman" w:eastAsia="方正小标宋_GBK" w:cs="方正小标宋_GBK"/>
          <w:sz w:val="44"/>
          <w:szCs w:val="44"/>
        </w:rPr>
        <w:t>关于</w:t>
      </w:r>
      <w:bookmarkStart w:id="0" w:name="OLE_LINK4"/>
      <w:bookmarkStart w:id="1" w:name="OLE_LINK3"/>
      <w:r>
        <w:rPr>
          <w:rFonts w:hint="eastAsia" w:ascii="Times New Roman" w:hAnsi="Times New Roman" w:eastAsia="方正小标宋_GBK" w:cs="方正小标宋_GBK"/>
          <w:sz w:val="44"/>
          <w:szCs w:val="44"/>
        </w:rPr>
        <w:t>《江苏省公共数据资源开发利用责任制</w:t>
      </w:r>
    </w:p>
    <w:p>
      <w:pPr>
        <w:overflowPunct w:val="0"/>
        <w:adjustRightInd w:val="0"/>
        <w:snapToGrid w:val="0"/>
        <w:spacing w:line="580" w:lineRule="exact"/>
        <w:jc w:val="center"/>
        <w:rPr>
          <w:rFonts w:hint="eastAsia" w:ascii="Times New Roman" w:hAnsi="Times New Roman" w:eastAsia="方正小标宋_GBK" w:cs="方正小标宋_GBK"/>
          <w:sz w:val="44"/>
          <w:szCs w:val="44"/>
          <w:lang w:eastAsia="zh-CN"/>
        </w:rPr>
      </w:pPr>
      <w:r>
        <w:rPr>
          <w:rFonts w:hint="eastAsia" w:ascii="Times New Roman" w:hAnsi="Times New Roman" w:eastAsia="方正小标宋_GBK" w:cs="方正小标宋_GBK"/>
          <w:sz w:val="44"/>
          <w:szCs w:val="44"/>
        </w:rPr>
        <w:t>规定（试行）》</w:t>
      </w:r>
      <w:bookmarkEnd w:id="0"/>
      <w:bookmarkEnd w:id="1"/>
      <w:r>
        <w:rPr>
          <w:rFonts w:hint="eastAsia" w:ascii="Times New Roman" w:hAnsi="Times New Roman" w:eastAsia="方正小标宋_GBK" w:cs="方正小标宋_GBK"/>
          <w:sz w:val="44"/>
          <w:szCs w:val="44"/>
          <w:lang w:val="en-US" w:eastAsia="zh-CN"/>
        </w:rPr>
        <w:t>的</w:t>
      </w:r>
      <w:r>
        <w:rPr>
          <w:rFonts w:hint="eastAsia" w:ascii="Times New Roman" w:hAnsi="Times New Roman" w:eastAsia="方正小标宋_GBK" w:cs="方正小标宋_GBK"/>
          <w:sz w:val="44"/>
          <w:szCs w:val="44"/>
        </w:rPr>
        <w:t>起草</w:t>
      </w:r>
      <w:r>
        <w:rPr>
          <w:rFonts w:hint="eastAsia" w:ascii="Times New Roman" w:hAnsi="Times New Roman" w:eastAsia="方正小标宋_GBK" w:cs="方正小标宋_GBK"/>
          <w:sz w:val="44"/>
          <w:szCs w:val="44"/>
          <w:lang w:val="en-US" w:eastAsia="zh-CN"/>
        </w:rPr>
        <w:t>说明</w:t>
      </w:r>
    </w:p>
    <w:p>
      <w:pPr>
        <w:spacing w:line="580" w:lineRule="exact"/>
        <w:ind w:firstLine="640" w:firstLineChars="200"/>
        <w:rPr>
          <w:rFonts w:hint="eastAsia"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640" w:firstLineChars="200"/>
        <w:rPr>
          <w:rFonts w:hint="eastAsia" w:ascii="Times New Roman" w:hAnsi="Times New Roman" w:eastAsia="方正仿宋_GBK" w:cs="方正仿宋_GBK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/>
          <w:sz w:val="32"/>
          <w:szCs w:val="32"/>
        </w:rPr>
        <w:t>为深入贯彻党中央、国务院关于加快公共数据资源开发利用的决策部署，破解开发利用堵点难点，压实各方主体责任，激发要素价值释放活力，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省数据局</w:t>
      </w:r>
      <w:r>
        <w:rPr>
          <w:rFonts w:hint="eastAsia" w:ascii="Times New Roman" w:hAnsi="Times New Roman" w:eastAsia="方正仿宋_GBK"/>
          <w:sz w:val="32"/>
          <w:szCs w:val="32"/>
        </w:rPr>
        <w:t>牵头编制了《江苏省公共数据资源开发利用责任制规定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/>
          <w:sz w:val="32"/>
          <w:szCs w:val="32"/>
        </w:rPr>
        <w:t>试行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方正仿宋_GBK"/>
          <w:sz w:val="32"/>
          <w:szCs w:val="32"/>
        </w:rPr>
        <w:t>》（以下简称《规定》），现将有关情况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说明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如下</w:t>
      </w:r>
      <w:r>
        <w:rPr>
          <w:rFonts w:hint="eastAsia" w:ascii="Times New Roman" w:hAnsi="Times New Roman" w:eastAsia="方正仿宋_GBK" w:cs="方正仿宋_GBK"/>
          <w:sz w:val="32"/>
          <w:szCs w:val="32"/>
          <w:lang w:eastAsia="zh-CN"/>
        </w:rPr>
        <w:t>。</w:t>
      </w:r>
    </w:p>
    <w:p>
      <w:pPr>
        <w:overflowPunct w:val="0"/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黑体_GBK" w:cs="方正黑体_GBK"/>
          <w:sz w:val="32"/>
          <w:szCs w:val="32"/>
        </w:rPr>
      </w:pPr>
      <w:r>
        <w:rPr>
          <w:rFonts w:hint="eastAsia" w:ascii="Times New Roman" w:hAnsi="Times New Roman" w:eastAsia="方正黑体_GBK" w:cs="方正黑体_GBK"/>
          <w:sz w:val="32"/>
          <w:szCs w:val="32"/>
        </w:rPr>
        <w:t>一、起草背景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/>
          <w:sz w:val="32"/>
          <w:szCs w:val="32"/>
        </w:rPr>
        <w:t>当前，公共数据资源开发利用政策体系不断完善、实践探索持续推进，已进入深化实施与机制发力的关键阶段。国家层面，2024年以来，《关于加快公共数据资源开发利用的意见》等政策出台，形成授权运营“1+3”制度体系。《政务数据共享条例》为厘清部门职责、规范共享流程提供了刚性依据。国家“十五五”规划纲要明确要求健全公共数据资源开发利用责任制。我省连续出台《江苏省数据条例》等法规规章，率先制定数据要素市场化配置改革、授权运营、数据产业等系列政策文件，大力推动公共数据资源开发利用工作落地实施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，为编制</w:t>
      </w:r>
      <w:r>
        <w:rPr>
          <w:rFonts w:hint="eastAsia" w:ascii="Times New Roman" w:hAnsi="Times New Roman" w:eastAsia="方正仿宋_GBK"/>
          <w:sz w:val="32"/>
          <w:szCs w:val="32"/>
        </w:rPr>
        <w:t>公共数据资源开发利用责任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制奠定坚实政策和实践基础。</w:t>
      </w:r>
    </w:p>
    <w:p>
      <w:pPr>
        <w:overflowPunct w:val="0"/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黑体_GBK" w:cs="方正黑体_GBK"/>
          <w:sz w:val="32"/>
          <w:szCs w:val="32"/>
        </w:rPr>
      </w:pPr>
      <w:bookmarkStart w:id="3" w:name="_GoBack"/>
      <w:bookmarkEnd w:id="3"/>
      <w:r>
        <w:rPr>
          <w:rFonts w:hint="eastAsia" w:ascii="Times New Roman" w:hAnsi="Times New Roman" w:eastAsia="方正黑体_GBK" w:cs="方正黑体_GBK"/>
          <w:sz w:val="32"/>
          <w:szCs w:val="32"/>
          <w:lang w:eastAsia="zh-CN"/>
        </w:rPr>
        <w:t>二</w:t>
      </w:r>
      <w:r>
        <w:rPr>
          <w:rFonts w:hint="eastAsia" w:ascii="Times New Roman" w:hAnsi="Times New Roman" w:eastAsia="方正黑体_GBK" w:cs="方正黑体_GBK"/>
          <w:sz w:val="32"/>
          <w:szCs w:val="32"/>
        </w:rPr>
        <w:t>、主要内容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《规定》共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方正仿宋_GBK"/>
          <w:sz w:val="32"/>
          <w:szCs w:val="32"/>
        </w:rPr>
        <w:t>章24条，包括总则、责任内容、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奖励</w:t>
      </w:r>
      <w:r>
        <w:rPr>
          <w:rFonts w:hint="eastAsia" w:ascii="Times New Roman" w:hAnsi="Times New Roman" w:eastAsia="方正仿宋_GBK"/>
          <w:sz w:val="32"/>
          <w:szCs w:val="32"/>
        </w:rPr>
        <w:t>与责任追究、附则，构建责任明确、激励与约束并重的公共数据资源开发利用责任体系。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kern w:val="0"/>
          <w:sz w:val="32"/>
          <w:szCs w:val="32"/>
        </w:rPr>
      </w:pPr>
      <w:bookmarkStart w:id="2" w:name="OLE_LINK2"/>
      <w:r>
        <w:rPr>
          <w:rFonts w:hint="eastAsia" w:ascii="Times New Roman" w:hAnsi="Times New Roman" w:eastAsia="方正楷体_GBK" w:cs="Times New Roman"/>
          <w:kern w:val="0"/>
          <w:sz w:val="32"/>
          <w:szCs w:val="32"/>
        </w:rPr>
        <w:t>第一章</w:t>
      </w:r>
      <w:bookmarkEnd w:id="2"/>
      <w:r>
        <w:rPr>
          <w:rFonts w:hint="eastAsia" w:ascii="Times New Roman" w:hAnsi="Times New Roman" w:eastAsia="方正楷体_GBK" w:cs="Times New Roman"/>
          <w:kern w:val="0"/>
          <w:sz w:val="32"/>
          <w:szCs w:val="32"/>
        </w:rPr>
        <w:t xml:space="preserve"> </w:t>
      </w:r>
      <w:r>
        <w:rPr>
          <w:rFonts w:ascii="Times New Roman" w:hAnsi="Times New Roman" w:eastAsia="方正楷体_GBK" w:cs="Times New Roman"/>
          <w:kern w:val="0"/>
          <w:sz w:val="32"/>
          <w:szCs w:val="32"/>
        </w:rPr>
        <w:t>总则</w:t>
      </w:r>
      <w:r>
        <w:rPr>
          <w:rFonts w:hint="eastAsia" w:ascii="Times New Roman" w:hAnsi="Times New Roman" w:eastAsia="方正楷体_GBK" w:cs="Times New Roman"/>
          <w:kern w:val="0"/>
          <w:sz w:val="32"/>
          <w:szCs w:val="32"/>
        </w:rPr>
        <w:t>。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主要阐述制定本责任制文件的目的依据、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</w:rPr>
        <w:t>适用范围和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基本原则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</w:rPr>
        <w:t>。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kern w:val="0"/>
          <w:sz w:val="32"/>
          <w:szCs w:val="32"/>
        </w:rPr>
      </w:pPr>
      <w:r>
        <w:rPr>
          <w:rFonts w:hint="eastAsia" w:ascii="Times New Roman" w:hAnsi="Times New Roman" w:eastAsia="方正楷体_GBK" w:cs="Times New Roman"/>
          <w:kern w:val="0"/>
          <w:sz w:val="32"/>
          <w:szCs w:val="32"/>
        </w:rPr>
        <w:t xml:space="preserve">第二章 </w:t>
      </w:r>
      <w:r>
        <w:rPr>
          <w:rFonts w:ascii="Times New Roman" w:hAnsi="Times New Roman" w:eastAsia="方正楷体_GBK" w:cs="Times New Roman"/>
          <w:kern w:val="0"/>
          <w:sz w:val="32"/>
          <w:szCs w:val="32"/>
        </w:rPr>
        <w:t>责任内容</w:t>
      </w:r>
      <w:r>
        <w:rPr>
          <w:rFonts w:hint="eastAsia" w:ascii="Times New Roman" w:hAnsi="Times New Roman" w:eastAsia="方正楷体_GBK" w:cs="Times New Roman"/>
          <w:kern w:val="0"/>
          <w:sz w:val="32"/>
          <w:szCs w:val="32"/>
        </w:rPr>
        <w:t>。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分层级、分环节明确各相关主体的具体责任要求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</w:rPr>
        <w:t>：</w:t>
      </w:r>
      <w:r>
        <w:rPr>
          <w:rFonts w:hint="eastAsia" w:ascii="方正黑体_GBK" w:hAnsi="方正黑体_GBK" w:eastAsia="方正黑体_GBK" w:cs="方正黑体_GBK"/>
          <w:kern w:val="0"/>
          <w:sz w:val="32"/>
          <w:szCs w:val="32"/>
        </w:rPr>
        <w:t>一是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</w:rPr>
        <w:t>政府层面，突出组织领导、规划保障、研究解决重大问题等责任。</w:t>
      </w:r>
      <w:r>
        <w:rPr>
          <w:rFonts w:hint="eastAsia" w:ascii="方正黑体_GBK" w:hAnsi="方正黑体_GBK" w:eastAsia="方正黑体_GBK" w:cs="方正黑体_GBK"/>
          <w:kern w:val="0"/>
          <w:sz w:val="32"/>
          <w:szCs w:val="32"/>
        </w:rPr>
        <w:t>二是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</w:rPr>
        <w:t>数据部门层面，聚焦统筹规划、制度标准制定、监督管理等责任。</w:t>
      </w:r>
      <w:r>
        <w:rPr>
          <w:rFonts w:hint="eastAsia" w:ascii="方正黑体_GBK" w:hAnsi="方正黑体_GBK" w:eastAsia="方正黑体_GBK" w:cs="方正黑体_GBK"/>
          <w:kern w:val="0"/>
          <w:sz w:val="32"/>
          <w:szCs w:val="32"/>
        </w:rPr>
        <w:t>三是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</w:rPr>
        <w:t>部门单位层面，强调落实首席数据官制度和建立健全工作机制，规定目录编制、数据供给、共享使用、质量管理等主体责任。</w:t>
      </w:r>
      <w:r>
        <w:rPr>
          <w:rFonts w:hint="eastAsia" w:ascii="方正黑体_GBK" w:hAnsi="方正黑体_GBK" w:eastAsia="方正黑体_GBK" w:cs="方正黑体_GBK"/>
          <w:kern w:val="0"/>
          <w:sz w:val="32"/>
          <w:szCs w:val="32"/>
        </w:rPr>
        <w:t>四是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</w:rPr>
        <w:t>运行管理机构层面，明确其在平台运维、归集治理以及推动共享开放、授权运营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eastAsia="zh-CN"/>
        </w:rPr>
        <w:t>等方面的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</w:rPr>
        <w:t>责任。</w:t>
      </w:r>
      <w:r>
        <w:rPr>
          <w:rFonts w:hint="eastAsia" w:ascii="方正黑体_GBK" w:hAnsi="方正黑体_GBK" w:eastAsia="方正黑体_GBK" w:cs="方正黑体_GBK"/>
          <w:kern w:val="0"/>
          <w:sz w:val="32"/>
          <w:szCs w:val="32"/>
        </w:rPr>
        <w:t>五是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</w:rPr>
        <w:t>运营机构层面，明确其承担授权范围内公共数据资源开发利用的责任。</w:t>
      </w:r>
      <w:r>
        <w:rPr>
          <w:rFonts w:hint="eastAsia" w:ascii="方正黑体_GBK" w:hAnsi="方正黑体_GBK" w:eastAsia="方正黑体_GBK" w:cs="方正黑体_GBK"/>
          <w:kern w:val="0"/>
          <w:sz w:val="32"/>
          <w:szCs w:val="32"/>
        </w:rPr>
        <w:t>六是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</w:rPr>
        <w:t>具体岗位人员层面，明确主要负责人、首席数据官及领导班子成员等责任。</w:t>
      </w:r>
      <w:r>
        <w:rPr>
          <w:rFonts w:ascii="方正黑体_GBK" w:hAnsi="方正黑体_GBK" w:eastAsia="方正黑体_GBK" w:cs="方正黑体_GBK"/>
          <w:kern w:val="0"/>
          <w:sz w:val="32"/>
          <w:szCs w:val="32"/>
        </w:rPr>
        <w:t>七是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</w:rPr>
        <w:t>强化安全监管，网信、公安等部门单位，加强开发利用安全监管。</w:t>
      </w:r>
      <w:r>
        <w:rPr>
          <w:rFonts w:hint="eastAsia" w:ascii="方正黑体_GBK" w:hAnsi="方正黑体_GBK" w:eastAsia="方正黑体_GBK" w:cs="方正黑体_GBK"/>
          <w:kern w:val="0"/>
          <w:sz w:val="32"/>
          <w:szCs w:val="32"/>
        </w:rPr>
        <w:t>八是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</w:rPr>
        <w:t>加强协同监管，明确财政、国资等部门单位在监督检查、预算绩效管理及国有资产监管等方面的监管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。</w:t>
      </w:r>
      <w:r>
        <w:rPr>
          <w:rFonts w:hint="eastAsia" w:ascii="方正黑体_GBK" w:hAnsi="方正黑体_GBK" w:eastAsia="方正黑体_GBK" w:cs="方正黑体_GBK"/>
          <w:kern w:val="0"/>
          <w:sz w:val="32"/>
          <w:szCs w:val="32"/>
        </w:rPr>
        <w:t>九是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</w:rPr>
        <w:t>开展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审计监督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</w:rPr>
        <w:t>，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审计机关依法对开发利用情况进行审计监督。</w:t>
      </w:r>
      <w:r>
        <w:rPr>
          <w:rFonts w:hint="eastAsia" w:ascii="方正黑体_GBK" w:hAnsi="方正黑体_GBK" w:eastAsia="方正黑体_GBK" w:cs="方正黑体_GBK"/>
          <w:kern w:val="0"/>
          <w:sz w:val="32"/>
          <w:szCs w:val="32"/>
        </w:rPr>
        <w:t>十是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</w:rPr>
        <w:t>加强纪律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监督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</w:rPr>
        <w:t>，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强化对责任落实、权力运行、制度执行、安全管理和政策落地的监督检查。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kern w:val="0"/>
          <w:sz w:val="32"/>
          <w:szCs w:val="32"/>
        </w:rPr>
      </w:pPr>
      <w:r>
        <w:rPr>
          <w:rFonts w:hint="eastAsia" w:ascii="Times New Roman" w:hAnsi="Times New Roman" w:eastAsia="方正楷体_GBK" w:cs="Times New Roman"/>
          <w:kern w:val="0"/>
          <w:sz w:val="32"/>
          <w:szCs w:val="32"/>
        </w:rPr>
        <w:t>第三章 奖励与责任追究。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健全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</w:rPr>
        <w:t>奖励与责任追究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机制，对工作成效显著部门单位及个人，按照规定给予激励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</w:rPr>
        <w:t>；建立授权运营收益分配机制。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对未履行责任或存在严重问题的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</w:rPr>
        <w:t>依法处罚、追究责任。设置尽职免责条款。</w:t>
      </w:r>
    </w:p>
    <w:p>
      <w:pPr>
        <w:overflowPunct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kern w:val="0"/>
          <w:sz w:val="32"/>
          <w:szCs w:val="32"/>
        </w:rPr>
      </w:pPr>
      <w:r>
        <w:rPr>
          <w:rFonts w:hint="eastAsia" w:ascii="Times New Roman" w:hAnsi="Times New Roman" w:eastAsia="方正楷体_GBK" w:cs="Times New Roman"/>
          <w:kern w:val="0"/>
          <w:sz w:val="32"/>
          <w:szCs w:val="32"/>
        </w:rPr>
        <w:t xml:space="preserve">第四章 </w:t>
      </w:r>
      <w:r>
        <w:rPr>
          <w:rFonts w:ascii="Times New Roman" w:hAnsi="Times New Roman" w:eastAsia="方正楷体_GBK" w:cs="Times New Roman"/>
          <w:kern w:val="0"/>
          <w:sz w:val="32"/>
          <w:szCs w:val="32"/>
        </w:rPr>
        <w:t>附则</w:t>
      </w:r>
      <w:r>
        <w:rPr>
          <w:rFonts w:hint="eastAsia" w:ascii="Times New Roman" w:hAnsi="Times New Roman" w:eastAsia="方正楷体_GBK" w:cs="Times New Roman"/>
          <w:kern w:val="0"/>
          <w:sz w:val="32"/>
          <w:szCs w:val="32"/>
        </w:rPr>
        <w:t>。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规定本责任制文件施行日期等事宜。</w:t>
      </w:r>
    </w:p>
    <w:p>
      <w:pPr>
        <w:rPr>
          <w:rFonts w:hint="eastAsia" w:ascii="Times New Roman" w:hAnsi="Times New Roman" w:eastAsia="方正仿宋_GBK" w:cs="Times New Roman"/>
          <w:kern w:val="0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814" w:right="1587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39750" cy="212090"/>
              <wp:effectExtent l="0" t="0" r="12065" b="3175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0000" cy="2124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jc w:val="center"/>
                            <w:rPr>
                              <w:rFonts w:ascii="Times New Roman" w:hAnsi="Times New Roman" w:eastAsia="仿宋" w:cs="Times New Roman"/>
                              <w:sz w:val="28"/>
                              <w:szCs w:val="44"/>
                            </w:rPr>
                          </w:pPr>
                          <w:r>
                            <w:rPr>
                              <w:rFonts w:ascii="Times New Roman" w:hAnsi="Times New Roman" w:eastAsia="仿宋" w:cs="Times New Roman"/>
                              <w:sz w:val="30"/>
                              <w:szCs w:val="30"/>
                            </w:rPr>
                            <w:t>—</w:t>
                          </w:r>
                          <w:r>
                            <w:rPr>
                              <w:rFonts w:hint="eastAsia" w:ascii="宋体" w:hAnsi="宋体"/>
                              <w:sz w:val="30"/>
                              <w:szCs w:val="3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sz w:val="30"/>
                              <w:szCs w:val="30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30"/>
                              <w:szCs w:val="30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30"/>
                              <w:szCs w:val="30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30"/>
                              <w:szCs w:val="3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30"/>
                              <w:szCs w:val="30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/>
                              <w:sz w:val="30"/>
                              <w:szCs w:val="3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="仿宋" w:cs="Times New Roman"/>
                              <w:sz w:val="30"/>
                              <w:szCs w:val="30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6.7pt;width:42.5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jc w:val="center"/>
                      <w:rPr>
                        <w:rFonts w:ascii="Times New Roman" w:hAnsi="Times New Roman" w:eastAsia="仿宋" w:cs="Times New Roman"/>
                        <w:sz w:val="28"/>
                        <w:szCs w:val="44"/>
                      </w:rPr>
                    </w:pPr>
                    <w:r>
                      <w:rPr>
                        <w:rFonts w:ascii="Times New Roman" w:hAnsi="Times New Roman" w:eastAsia="仿宋" w:cs="Times New Roman"/>
                        <w:sz w:val="30"/>
                        <w:szCs w:val="30"/>
                      </w:rPr>
                      <w:t>—</w:t>
                    </w:r>
                    <w:r>
                      <w:rPr>
                        <w:rFonts w:hint="eastAsia" w:ascii="宋体" w:hAnsi="宋体"/>
                        <w:sz w:val="30"/>
                        <w:szCs w:val="30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sz w:val="30"/>
                        <w:szCs w:val="30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30"/>
                        <w:szCs w:val="30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30"/>
                        <w:szCs w:val="30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30"/>
                        <w:szCs w:val="3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30"/>
                        <w:szCs w:val="30"/>
                      </w:rPr>
                      <w:fldChar w:fldCharType="end"/>
                    </w:r>
                    <w:r>
                      <w:rPr>
                        <w:rFonts w:hint="eastAsia" w:ascii="宋体" w:hAnsi="宋体"/>
                        <w:sz w:val="30"/>
                        <w:szCs w:val="30"/>
                      </w:rPr>
                      <w:t xml:space="preserve"> </w:t>
                    </w:r>
                    <w:r>
                      <w:rPr>
                        <w:rFonts w:ascii="Times New Roman" w:hAnsi="Times New Roman" w:eastAsia="仿宋" w:cs="Times New Roman"/>
                        <w:sz w:val="30"/>
                        <w:szCs w:val="30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B836A0F"/>
    <w:rsid w:val="000165E6"/>
    <w:rsid w:val="000C65B6"/>
    <w:rsid w:val="000F1997"/>
    <w:rsid w:val="00114D96"/>
    <w:rsid w:val="0012003D"/>
    <w:rsid w:val="00142126"/>
    <w:rsid w:val="001604A5"/>
    <w:rsid w:val="00164730"/>
    <w:rsid w:val="0018286C"/>
    <w:rsid w:val="002173DD"/>
    <w:rsid w:val="00232FAE"/>
    <w:rsid w:val="0025496E"/>
    <w:rsid w:val="0028463C"/>
    <w:rsid w:val="00296696"/>
    <w:rsid w:val="002972F3"/>
    <w:rsid w:val="002A4DF4"/>
    <w:rsid w:val="002B172A"/>
    <w:rsid w:val="002B3E48"/>
    <w:rsid w:val="002B5306"/>
    <w:rsid w:val="002C320D"/>
    <w:rsid w:val="002D4C83"/>
    <w:rsid w:val="002E7A05"/>
    <w:rsid w:val="002F3EC4"/>
    <w:rsid w:val="003549A7"/>
    <w:rsid w:val="00356DA8"/>
    <w:rsid w:val="00373A6A"/>
    <w:rsid w:val="003D0444"/>
    <w:rsid w:val="003D091D"/>
    <w:rsid w:val="004238EE"/>
    <w:rsid w:val="00446F8C"/>
    <w:rsid w:val="00462058"/>
    <w:rsid w:val="00472A03"/>
    <w:rsid w:val="004F579F"/>
    <w:rsid w:val="004F78F7"/>
    <w:rsid w:val="00543AE0"/>
    <w:rsid w:val="00555F89"/>
    <w:rsid w:val="005624FE"/>
    <w:rsid w:val="005714C6"/>
    <w:rsid w:val="005A799A"/>
    <w:rsid w:val="0060262A"/>
    <w:rsid w:val="00621F7A"/>
    <w:rsid w:val="006723BE"/>
    <w:rsid w:val="006C144D"/>
    <w:rsid w:val="006D1F7E"/>
    <w:rsid w:val="006F456A"/>
    <w:rsid w:val="0070676D"/>
    <w:rsid w:val="00754CB0"/>
    <w:rsid w:val="007609AE"/>
    <w:rsid w:val="00777E76"/>
    <w:rsid w:val="0078435A"/>
    <w:rsid w:val="007D3FC4"/>
    <w:rsid w:val="007F687B"/>
    <w:rsid w:val="00807118"/>
    <w:rsid w:val="0081102E"/>
    <w:rsid w:val="00877E5B"/>
    <w:rsid w:val="008947B3"/>
    <w:rsid w:val="008D3DA2"/>
    <w:rsid w:val="00924E28"/>
    <w:rsid w:val="00967C7F"/>
    <w:rsid w:val="00971F30"/>
    <w:rsid w:val="009C4F22"/>
    <w:rsid w:val="009D0124"/>
    <w:rsid w:val="00A12127"/>
    <w:rsid w:val="00A30A2D"/>
    <w:rsid w:val="00A33306"/>
    <w:rsid w:val="00A35A9D"/>
    <w:rsid w:val="00A40F8E"/>
    <w:rsid w:val="00A741BD"/>
    <w:rsid w:val="00B003B7"/>
    <w:rsid w:val="00B20ED9"/>
    <w:rsid w:val="00B22840"/>
    <w:rsid w:val="00BB3C76"/>
    <w:rsid w:val="00BE44EE"/>
    <w:rsid w:val="00C051FB"/>
    <w:rsid w:val="00C31650"/>
    <w:rsid w:val="00C71E76"/>
    <w:rsid w:val="00D641D5"/>
    <w:rsid w:val="00D647F6"/>
    <w:rsid w:val="00D76877"/>
    <w:rsid w:val="00DE373A"/>
    <w:rsid w:val="00DE37EF"/>
    <w:rsid w:val="00DE7C59"/>
    <w:rsid w:val="00DF6C41"/>
    <w:rsid w:val="00E149D2"/>
    <w:rsid w:val="00E22DED"/>
    <w:rsid w:val="00E25D62"/>
    <w:rsid w:val="00E41708"/>
    <w:rsid w:val="00E545A1"/>
    <w:rsid w:val="00E73BAF"/>
    <w:rsid w:val="00E87638"/>
    <w:rsid w:val="00EE170E"/>
    <w:rsid w:val="00F06043"/>
    <w:rsid w:val="00F50A87"/>
    <w:rsid w:val="00FA3E43"/>
    <w:rsid w:val="00FA7FCF"/>
    <w:rsid w:val="00FE3388"/>
    <w:rsid w:val="018207C5"/>
    <w:rsid w:val="029A6326"/>
    <w:rsid w:val="032A5B51"/>
    <w:rsid w:val="036C573B"/>
    <w:rsid w:val="042913CB"/>
    <w:rsid w:val="05306792"/>
    <w:rsid w:val="063D0DD1"/>
    <w:rsid w:val="079C1EB4"/>
    <w:rsid w:val="07DD0873"/>
    <w:rsid w:val="0A0D7099"/>
    <w:rsid w:val="0A9C34C3"/>
    <w:rsid w:val="0B0F23BB"/>
    <w:rsid w:val="0B5C7530"/>
    <w:rsid w:val="0CA06937"/>
    <w:rsid w:val="10A5749A"/>
    <w:rsid w:val="137F4B64"/>
    <w:rsid w:val="18A90101"/>
    <w:rsid w:val="1B836A0F"/>
    <w:rsid w:val="1C021E4A"/>
    <w:rsid w:val="1DC13FCB"/>
    <w:rsid w:val="1E390005"/>
    <w:rsid w:val="21FB7287"/>
    <w:rsid w:val="222114DC"/>
    <w:rsid w:val="225B679C"/>
    <w:rsid w:val="228D1FBC"/>
    <w:rsid w:val="272F2738"/>
    <w:rsid w:val="28D64DCE"/>
    <w:rsid w:val="28F11C08"/>
    <w:rsid w:val="2BCF7106"/>
    <w:rsid w:val="2C51750C"/>
    <w:rsid w:val="3016326E"/>
    <w:rsid w:val="30A13418"/>
    <w:rsid w:val="3284589B"/>
    <w:rsid w:val="34F248E3"/>
    <w:rsid w:val="36F156B9"/>
    <w:rsid w:val="37C36E66"/>
    <w:rsid w:val="39094D4C"/>
    <w:rsid w:val="394814D0"/>
    <w:rsid w:val="3CDC4526"/>
    <w:rsid w:val="3D774072"/>
    <w:rsid w:val="3DEE58E6"/>
    <w:rsid w:val="3F300D14"/>
    <w:rsid w:val="3FAC4683"/>
    <w:rsid w:val="3FAF5745"/>
    <w:rsid w:val="417029B5"/>
    <w:rsid w:val="44F94DBC"/>
    <w:rsid w:val="450A60D4"/>
    <w:rsid w:val="45943BEF"/>
    <w:rsid w:val="466C2476"/>
    <w:rsid w:val="46BB0ACD"/>
    <w:rsid w:val="489F71A0"/>
    <w:rsid w:val="48DD58AD"/>
    <w:rsid w:val="4924528A"/>
    <w:rsid w:val="4C60482B"/>
    <w:rsid w:val="4F351F9F"/>
    <w:rsid w:val="4F9A44F8"/>
    <w:rsid w:val="5123039D"/>
    <w:rsid w:val="52857958"/>
    <w:rsid w:val="55813245"/>
    <w:rsid w:val="58FB7B89"/>
    <w:rsid w:val="59F7D761"/>
    <w:rsid w:val="5B213A7E"/>
    <w:rsid w:val="5D665A1A"/>
    <w:rsid w:val="5D6D6DA8"/>
    <w:rsid w:val="5DB807BF"/>
    <w:rsid w:val="5E644053"/>
    <w:rsid w:val="62C45016"/>
    <w:rsid w:val="637369A8"/>
    <w:rsid w:val="65144D8E"/>
    <w:rsid w:val="65DA7BBE"/>
    <w:rsid w:val="67917B37"/>
    <w:rsid w:val="67DD2D7C"/>
    <w:rsid w:val="6861575B"/>
    <w:rsid w:val="689028D0"/>
    <w:rsid w:val="68F62348"/>
    <w:rsid w:val="68FE11FC"/>
    <w:rsid w:val="69D34437"/>
    <w:rsid w:val="6C170751"/>
    <w:rsid w:val="6CE620C7"/>
    <w:rsid w:val="6E8A28E9"/>
    <w:rsid w:val="6F15104E"/>
    <w:rsid w:val="6FFA9774"/>
    <w:rsid w:val="722E4900"/>
    <w:rsid w:val="74F407F8"/>
    <w:rsid w:val="74FB2271"/>
    <w:rsid w:val="76545FE3"/>
    <w:rsid w:val="78DD2BDC"/>
    <w:rsid w:val="7B312F71"/>
    <w:rsid w:val="7CE00EED"/>
    <w:rsid w:val="7F14620B"/>
    <w:rsid w:val="7F303BBA"/>
    <w:rsid w:val="7F351E21"/>
    <w:rsid w:val="AD972FC9"/>
    <w:rsid w:val="B75EDFEF"/>
    <w:rsid w:val="BB3D3FC9"/>
    <w:rsid w:val="DDDA58C9"/>
    <w:rsid w:val="DFEC79F7"/>
    <w:rsid w:val="EBFE4DEA"/>
    <w:rsid w:val="FEFF46CB"/>
    <w:rsid w:val="FF3F6CDE"/>
    <w:rsid w:val="FFEFC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5"/>
    <w:basedOn w:val="1"/>
    <w:next w:val="1"/>
    <w:qFormat/>
    <w:uiPriority w:val="0"/>
    <w:pPr>
      <w:ind w:left="1680"/>
    </w:pPr>
    <w:rPr>
      <w:rFonts w:ascii="Times New Roman" w:hAnsi="Times New Roman" w:eastAsia="宋体" w:cs="Times New Roman"/>
    </w:rPr>
  </w:style>
  <w:style w:type="paragraph" w:styleId="3">
    <w:name w:val="Body Text"/>
    <w:basedOn w:val="1"/>
    <w:next w:val="1"/>
    <w:qFormat/>
    <w:uiPriority w:val="0"/>
    <w:pPr>
      <w:spacing w:after="120"/>
    </w:pPr>
    <w:rPr>
      <w:rFonts w:ascii="Calibri" w:hAnsi="Calibri" w:eastAsia="宋体" w:cs="Times New Roman"/>
    </w:rPr>
  </w:style>
  <w:style w:type="paragraph" w:styleId="4">
    <w:name w:val="Body Text Indent"/>
    <w:basedOn w:val="1"/>
    <w:unhideWhenUsed/>
    <w:qFormat/>
    <w:uiPriority w:val="99"/>
    <w:pPr>
      <w:spacing w:after="120"/>
      <w:ind w:left="420" w:leftChars="20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8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9">
    <w:name w:val="Body Text First Indent 2"/>
    <w:basedOn w:val="4"/>
    <w:qFormat/>
    <w:uiPriority w:val="0"/>
    <w:pPr>
      <w:ind w:firstLine="420"/>
    </w:pPr>
  </w:style>
  <w:style w:type="paragraph" w:customStyle="1" w:styleId="12">
    <w:name w:val="正文缩进1"/>
    <w:basedOn w:val="1"/>
    <w:qFormat/>
    <w:uiPriority w:val="0"/>
    <w:pPr>
      <w:ind w:firstLine="420"/>
    </w:pPr>
  </w:style>
  <w:style w:type="paragraph" w:styleId="13">
    <w:name w:val="List Paragraph"/>
    <w:basedOn w:val="1"/>
    <w:qFormat/>
    <w:uiPriority w:val="34"/>
    <w:pPr>
      <w:ind w:firstLine="420"/>
    </w:pPr>
  </w:style>
  <w:style w:type="paragraph" w:customStyle="1" w:styleId="14">
    <w:name w:val="_Style 2"/>
    <w:next w:val="2"/>
    <w:qFormat/>
    <w:uiPriority w:val="0"/>
    <w:pPr>
      <w:widowControl w:val="0"/>
      <w:spacing w:line="351" w:lineRule="atLeast"/>
      <w:ind w:firstLine="623"/>
      <w:jc w:val="both"/>
      <w:textAlignment w:val="baseline"/>
    </w:pPr>
    <w:rPr>
      <w:rFonts w:ascii="Times New Roman" w:hAnsi="Times New Roman" w:eastAsia="仿宋_GB2312" w:cs="Times New Roman"/>
      <w:color w:val="000000"/>
      <w:kern w:val="2"/>
      <w:sz w:val="31"/>
      <w:lang w:val="en-US" w:eastAsia="zh-CN" w:bidi="ar-SA"/>
    </w:rPr>
  </w:style>
  <w:style w:type="character" w:customStyle="1" w:styleId="15">
    <w:name w:val="批注框文本 Char"/>
    <w:basedOn w:val="11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6">
    <w:name w:val="正文空2字"/>
    <w:basedOn w:val="17"/>
    <w:qFormat/>
    <w:uiPriority w:val="99"/>
    <w:pPr>
      <w:widowControl w:val="0"/>
      <w:snapToGrid w:val="0"/>
      <w:spacing w:line="560" w:lineRule="exact"/>
      <w:ind w:firstLine="640" w:firstLineChars="200"/>
    </w:pPr>
    <w:rPr>
      <w:rFonts w:ascii="仿宋_GB2312" w:hAnsi="仿宋_GB2312" w:cs="仿宋_GB2312"/>
      <w:lang w:val="zh-TW"/>
    </w:rPr>
  </w:style>
  <w:style w:type="paragraph" w:customStyle="1" w:styleId="17">
    <w:name w:val="左对齐正文"/>
    <w:qFormat/>
    <w:uiPriority w:val="99"/>
    <w:rPr>
      <w:rFonts w:ascii="Calibri" w:hAnsi="Calibri" w:eastAsia="仿宋_GB2312" w:cs="Calibri"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6128</Words>
  <Characters>6149</Characters>
  <Lines>14</Lines>
  <Paragraphs>3</Paragraphs>
  <TotalTime>8</TotalTime>
  <ScaleCrop>false</ScaleCrop>
  <LinksUpToDate>false</LinksUpToDate>
  <CharactersWithSpaces>6164</CharactersWithSpaces>
  <Application>WPS Office_12.8.2.15290_F1E327BC-269C-435d-A152-05C5408002CA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2026-06-08T06:12:00Z</dcterms:created>
  <dc:creator>周祥</dc:creator>
  <cp:lastModifiedBy>hw</cp:lastModifiedBy>
  <cp:lastPrinted>2026-06-10T00:07:00Z</cp:lastPrinted>
  <dcterms:modified xsi:type="dcterms:W3CDTF">2026-06-12T15:43:20Z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2052-12.8.2.15290</vt:lpwstr>
  </property>
  <property fmtid="{D5CDD505-2E9C-101B-9397-08002B2CF9AE}" pid="3" name="ICV">
    <vt:lpwstr>D07703B0BF254A45AC58FFEE96334A9F_13</vt:lpwstr>
  </property>
  <property fmtid="{D5CDD505-2E9C-101B-9397-08002B2CF9AE}" pid="4" name="KSOTemplateDocerSaveRecord">
    <vt:lpwstr>eyJoZGlkIjoiMzE3M2QxN2JjMDg2NGMwODM1NTFiZTRkZjU0Yjk4ZWEiLCJ1c2VySWQiOiIyODg5ODY3NDYifQ==</vt:lpwstr>
  </property>
</Properties>
</file>