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E29EB1">
      <w:pPr>
        <w:tabs>
          <w:tab w:val="left" w:pos="9193"/>
          <w:tab w:val="left" w:pos="9827"/>
        </w:tabs>
        <w:spacing w:line="570" w:lineRule="exact"/>
        <w:ind w:firstLine="0"/>
        <w:jc w:val="center"/>
        <w:rPr>
          <w:rFonts w:eastAsia="方正小标宋_GBK"/>
          <w:sz w:val="44"/>
        </w:rPr>
      </w:pPr>
      <w:r>
        <w:rPr>
          <w:rFonts w:hint="eastAsia" w:eastAsia="方正小标宋_GBK"/>
          <w:sz w:val="44"/>
        </w:rPr>
        <w:t>关于加强房屋市政工程施工现场</w:t>
      </w:r>
    </w:p>
    <w:p w14:paraId="7A27DA19">
      <w:pPr>
        <w:tabs>
          <w:tab w:val="left" w:pos="9193"/>
          <w:tab w:val="left" w:pos="9827"/>
        </w:tabs>
        <w:spacing w:line="570" w:lineRule="exact"/>
        <w:ind w:firstLine="0"/>
        <w:jc w:val="center"/>
        <w:rPr>
          <w:rFonts w:eastAsia="方正小标宋_GBK"/>
          <w:sz w:val="44"/>
        </w:rPr>
      </w:pPr>
      <w:r>
        <w:rPr>
          <w:rFonts w:hint="eastAsia" w:eastAsia="方正小标宋_GBK"/>
          <w:sz w:val="44"/>
        </w:rPr>
        <w:t>动火作业安全管理的通知</w:t>
      </w:r>
    </w:p>
    <w:p w14:paraId="1E81E4B6">
      <w:pPr>
        <w:spacing w:line="570" w:lineRule="exact"/>
      </w:pPr>
    </w:p>
    <w:p w14:paraId="596CC747">
      <w:pPr>
        <w:spacing w:beforeAutospacing="1" w:line="570" w:lineRule="exact"/>
        <w:ind w:firstLine="0"/>
      </w:pPr>
      <w:r>
        <w:rPr>
          <w:rFonts w:hint="eastAsia"/>
        </w:rPr>
        <w:t>各设区市住房和城乡建设局（建委）</w:t>
      </w:r>
      <w:r>
        <w:t>：</w:t>
      </w:r>
    </w:p>
    <w:p w14:paraId="4C4E9DD2">
      <w:pPr>
        <w:spacing w:line="570" w:lineRule="exact"/>
        <w:ind w:firstLine="632" w:firstLineChars="200"/>
        <w:rPr>
          <w:rFonts w:ascii="方正仿宋_GBK"/>
          <w:kern w:val="32"/>
        </w:rPr>
      </w:pPr>
      <w:r>
        <w:rPr>
          <w:rFonts w:hint="eastAsia" w:ascii="方正仿宋_GBK"/>
          <w:kern w:val="32"/>
        </w:rPr>
        <w:t>为落实国家、省关于人员密集场所动火作业安全管理的相关要求，进一步加强房屋市政工程施工现场动火作业</w:t>
      </w:r>
      <w:r>
        <w:rPr>
          <w:rFonts w:hint="eastAsia" w:ascii="方正仿宋_GBK"/>
          <w:kern w:val="32"/>
          <w:lang w:eastAsia="zh-CN"/>
        </w:rPr>
        <w:t>（</w:t>
      </w:r>
      <w:r>
        <w:rPr>
          <w:rFonts w:hint="eastAsia" w:ascii="方正仿宋_GBK"/>
          <w:kern w:val="32"/>
          <w:lang w:val="en-US" w:eastAsia="zh-CN"/>
        </w:rPr>
        <w:t>以下简称动火作业</w:t>
      </w:r>
      <w:r>
        <w:rPr>
          <w:rFonts w:hint="eastAsia" w:ascii="方正仿宋_GBK"/>
          <w:kern w:val="32"/>
          <w:lang w:eastAsia="zh-CN"/>
        </w:rPr>
        <w:t>）</w:t>
      </w:r>
      <w:r>
        <w:rPr>
          <w:rFonts w:hint="eastAsia" w:ascii="方正仿宋_GBK"/>
          <w:kern w:val="32"/>
        </w:rPr>
        <w:t>安全风险管控，防范遏制因违规动火引发的火灾事故，现就动火作业安全管理工作通知如下。</w:t>
      </w:r>
    </w:p>
    <w:p w14:paraId="5DD50139">
      <w:pPr>
        <w:spacing w:line="570" w:lineRule="exact"/>
        <w:ind w:firstLine="632" w:firstLineChars="200"/>
        <w:rPr>
          <w:rFonts w:hint="eastAsia" w:ascii="方正黑体_GBK" w:hAnsi="方正黑体_GBK" w:eastAsia="方正黑体_GBK" w:cs="方正黑体_GBK"/>
          <w:kern w:val="32"/>
        </w:rPr>
      </w:pPr>
      <w:r>
        <w:rPr>
          <w:rFonts w:hint="eastAsia" w:ascii="方正黑体_GBK" w:hAnsi="方正黑体_GBK" w:eastAsia="方正黑体_GBK" w:cs="方正黑体_GBK"/>
          <w:kern w:val="32"/>
        </w:rPr>
        <w:t>一、严格落实动火作业安全主体责任</w:t>
      </w:r>
    </w:p>
    <w:p w14:paraId="7BE7D932">
      <w:pPr>
        <w:spacing w:line="570" w:lineRule="exact"/>
        <w:ind w:firstLine="632" w:firstLineChars="200"/>
        <w:rPr>
          <w:rFonts w:ascii="方正仿宋_GBK"/>
          <w:kern w:val="32"/>
        </w:rPr>
      </w:pPr>
      <w:r>
        <w:rPr>
          <w:rFonts w:hint="eastAsia" w:ascii="方正仿宋_GBK"/>
          <w:kern w:val="32"/>
        </w:rPr>
        <w:t>建设单位应当向施工单位提供施工现场及毗邻区域内相关资料，并保证资料的真实、准确和完整。建设单位应当落实安全生产首要责任，定期对动火作业进行安全检查，加大安全生产资金、物资、技术、人员的投入保障力度。人员密集场所要按照“谁的场所谁管理，谁动火谁负责”的原则，严格落实动火作业安全主体责任。人员密集场所管理使用单位应当全面负责本场所的动火作业安全工作，严格履行法定职责，组织实施动火作业全过程管控，坚决杜绝违规动火作业。</w:t>
      </w:r>
    </w:p>
    <w:p w14:paraId="4D750148">
      <w:pPr>
        <w:spacing w:line="570" w:lineRule="exact"/>
        <w:ind w:firstLine="632" w:firstLineChars="200"/>
        <w:rPr>
          <w:rFonts w:ascii="方正仿宋_GBK"/>
          <w:kern w:val="32"/>
        </w:rPr>
      </w:pPr>
      <w:r>
        <w:rPr>
          <w:rFonts w:hint="eastAsia" w:ascii="方正仿宋_GBK"/>
          <w:kern w:val="32"/>
        </w:rPr>
        <w:t>施工单位应当严格落实动火作业安全管理制度和操作规程，应当符合产权单位、管理使用单位管理要求；依法分包给其他单位时，应当加强对分包单位现场动火作业安全管理</w:t>
      </w:r>
      <w:r>
        <w:rPr>
          <w:rFonts w:hint="eastAsia" w:ascii="方正仿宋_GBK"/>
          <w:kern w:val="32"/>
          <w:lang w:eastAsia="zh-CN"/>
        </w:rPr>
        <w:t>，</w:t>
      </w:r>
      <w:r>
        <w:rPr>
          <w:rFonts w:hint="eastAsia" w:ascii="方正仿宋_GBK"/>
          <w:kern w:val="32"/>
          <w:lang w:val="en-US" w:eastAsia="zh-CN"/>
        </w:rPr>
        <w:t>分包单位同时应加强自身动火作业安全管理</w:t>
      </w:r>
      <w:r>
        <w:rPr>
          <w:rFonts w:hint="eastAsia" w:ascii="方正仿宋_GBK"/>
          <w:kern w:val="32"/>
        </w:rPr>
        <w:t>；应当加强动火作业人员安全教育培训，使其具备动火作业风险隐患辨识能力、应急逃生和处置能力。对未经培训上岗人员，一律先离岗，培训合格后再上岗。</w:t>
      </w:r>
    </w:p>
    <w:p w14:paraId="5E3B00C2">
      <w:pPr>
        <w:spacing w:line="570" w:lineRule="exact"/>
        <w:ind w:firstLine="632" w:firstLineChars="200"/>
        <w:rPr>
          <w:rFonts w:ascii="方正仿宋_GBK"/>
          <w:kern w:val="32"/>
        </w:rPr>
      </w:pPr>
      <w:r>
        <w:rPr>
          <w:rFonts w:hint="eastAsia" w:ascii="方正仿宋_GBK"/>
          <w:kern w:val="32"/>
        </w:rPr>
        <w:t>监理单位应当对动火作业现场安全承担监理责任，对动火作业现场发现的安全事故隐患，应当要求施工单位立即整改；情况严重的，应当要求施工单位暂时停止施工，并同时报告建设单位。施工单位拒不整改或者不停止施工的，监理单位应当及时向工程所在地建设主管部门报告。</w:t>
      </w:r>
    </w:p>
    <w:p w14:paraId="092D5F03">
      <w:pPr>
        <w:spacing w:line="570" w:lineRule="exact"/>
        <w:ind w:firstLine="632" w:firstLineChars="200"/>
        <w:rPr>
          <w:rFonts w:hint="eastAsia" w:ascii="方正黑体_GBK" w:hAnsi="方正黑体_GBK" w:eastAsia="方正黑体_GBK" w:cs="方正黑体_GBK"/>
          <w:kern w:val="32"/>
        </w:rPr>
      </w:pPr>
      <w:r>
        <w:rPr>
          <w:rFonts w:hint="eastAsia" w:ascii="方正黑体_GBK" w:hAnsi="方正黑体_GBK" w:eastAsia="方正黑体_GBK" w:cs="方正黑体_GBK"/>
          <w:kern w:val="32"/>
        </w:rPr>
        <w:t>二、严格落实动火作业“四个一律”</w:t>
      </w:r>
    </w:p>
    <w:p w14:paraId="2866D17E">
      <w:pPr>
        <w:spacing w:line="570" w:lineRule="exact"/>
        <w:ind w:firstLine="632" w:firstLineChars="200"/>
        <w:rPr>
          <w:rFonts w:ascii="方正仿宋_GBK"/>
          <w:kern w:val="32"/>
        </w:rPr>
      </w:pPr>
      <w:r>
        <w:rPr>
          <w:rFonts w:hint="eastAsia" w:ascii="方正仿宋_GBK"/>
          <w:kern w:val="32"/>
        </w:rPr>
        <w:t>施工单位应当执行国家和省关于动火作业的相关管理要求，规范现场动火作业流程，有效管控作业安全风险，切实保障人员生命与财产安全。</w:t>
      </w:r>
    </w:p>
    <w:p w14:paraId="653355FC">
      <w:pPr>
        <w:spacing w:line="570" w:lineRule="exact"/>
        <w:ind w:firstLine="632" w:firstLineChars="200"/>
        <w:rPr>
          <w:rFonts w:ascii="方正仿宋_GBK"/>
          <w:kern w:val="32"/>
        </w:rPr>
      </w:pPr>
      <w:r>
        <w:rPr>
          <w:rFonts w:hint="eastAsia" w:ascii="方正楷体_GBK" w:hAnsi="方正楷体_GBK" w:eastAsia="方正楷体_GBK" w:cs="方正楷体_GBK"/>
          <w:kern w:val="32"/>
        </w:rPr>
        <w:t>（一）动火作业一律持证上岗</w:t>
      </w:r>
      <w:r>
        <w:rPr>
          <w:rFonts w:hint="eastAsia" w:ascii="方正仿宋_GBK"/>
          <w:kern w:val="32"/>
        </w:rPr>
        <w:t>。从事电焊、气焊、气割的动火作业人员必须按照规定持</w:t>
      </w:r>
      <w:bookmarkStart w:id="0" w:name="OLE_LINK11"/>
      <w:bookmarkStart w:id="1" w:name="OLE_LINK12"/>
      <w:r>
        <w:rPr>
          <w:rFonts w:hint="eastAsia" w:ascii="方正仿宋_GBK"/>
          <w:kern w:val="32"/>
        </w:rPr>
        <w:t>焊接与热切割或者建筑焊工特种作业操作资格证书</w:t>
      </w:r>
      <w:bookmarkEnd w:id="0"/>
      <w:bookmarkEnd w:id="1"/>
      <w:r>
        <w:rPr>
          <w:rFonts w:hint="eastAsia" w:ascii="方正仿宋_GBK"/>
          <w:kern w:val="32"/>
        </w:rPr>
        <w:t>上岗，具备相应动火作业安全技能。施工单位应当履行证书查验责任，雇佣、安排持有效证件人员进行电焊、气焊、气割动火作业。</w:t>
      </w:r>
    </w:p>
    <w:p w14:paraId="340CCC4B">
      <w:pPr>
        <w:spacing w:line="570" w:lineRule="exact"/>
        <w:ind w:firstLine="632" w:firstLineChars="200"/>
        <w:rPr>
          <w:rFonts w:ascii="方正仿宋_GBK"/>
          <w:kern w:val="32"/>
        </w:rPr>
      </w:pPr>
      <w:r>
        <w:rPr>
          <w:rFonts w:hint="eastAsia" w:ascii="方正楷体_GBK" w:hAnsi="方正楷体_GBK" w:eastAsia="方正楷体_GBK" w:cs="方正楷体_GBK"/>
          <w:kern w:val="32"/>
        </w:rPr>
        <w:t>（二）动火作业一律申请批准</w:t>
      </w:r>
      <w:r>
        <w:rPr>
          <w:rFonts w:hint="eastAsia" w:ascii="方正仿宋_GBK"/>
          <w:kern w:val="32"/>
        </w:rPr>
        <w:t>。施工单位应当建立动火作业安全管理制度，明确管理责任部门和责任人员，规范动火作业审批程序，严格执行“一次动火作业、一张动火作业证、一套安全技术措施”。动火作业证上</w:t>
      </w:r>
      <w:r>
        <w:rPr>
          <w:rFonts w:hint="eastAsia" w:ascii="方正仿宋_GBK"/>
          <w:kern w:val="32"/>
          <w:lang w:val="en-US" w:eastAsia="zh-CN"/>
        </w:rPr>
        <w:t>应清晰载明动火类型、动火具体部位（位置），</w:t>
      </w:r>
      <w:r>
        <w:rPr>
          <w:rFonts w:hint="eastAsia" w:ascii="方正仿宋_GBK"/>
          <w:kern w:val="32"/>
        </w:rPr>
        <w:t>明确动火作业风险和管控措施，其中人员密集场所的动火作业应当经管理使用单位主要负责人审批同意后方可实施，承包、承租方的动火作业应当经所在场所的产权单位或者委托的统一管理单位同意后才能进行。严禁在使用或者营业期间违规动火作业。</w:t>
      </w:r>
    </w:p>
    <w:p w14:paraId="4666FF6F">
      <w:pPr>
        <w:spacing w:line="570" w:lineRule="exact"/>
        <w:ind w:firstLine="632" w:firstLineChars="200"/>
        <w:rPr>
          <w:rFonts w:ascii="方正仿宋_GBK"/>
          <w:color w:val="EE0000"/>
          <w:kern w:val="32"/>
        </w:rPr>
      </w:pPr>
      <w:r>
        <w:rPr>
          <w:rFonts w:ascii="方正楷体_GBK" w:hAnsi="方正楷体_GBK" w:eastAsia="方正楷体_GBK" w:cs="方正楷体_GBK"/>
          <w:kern w:val="32"/>
        </w:rPr>
        <w:t>（三）动火作业一律条件核查。</w:t>
      </w:r>
      <w:r>
        <w:rPr>
          <w:rFonts w:ascii="方正仿宋_GBK"/>
          <w:kern w:val="32"/>
        </w:rPr>
        <w:t>施工单位应</w:t>
      </w:r>
      <w:r>
        <w:rPr>
          <w:rFonts w:hint="eastAsia" w:ascii="方正仿宋_GBK"/>
          <w:kern w:val="32"/>
        </w:rPr>
        <w:t>当严格落实</w:t>
      </w:r>
      <w:r>
        <w:rPr>
          <w:rFonts w:ascii="方正仿宋_GBK"/>
          <w:kern w:val="32"/>
        </w:rPr>
        <w:t>国家关于动火作业安全管理要求，严格执行动火作业内部审批制度</w:t>
      </w:r>
      <w:r>
        <w:rPr>
          <w:rFonts w:hint="eastAsia" w:ascii="方正仿宋_GBK"/>
          <w:kern w:val="32"/>
        </w:rPr>
        <w:t>，按照要求进行</w:t>
      </w:r>
      <w:r>
        <w:rPr>
          <w:rFonts w:ascii="方正仿宋_GBK"/>
          <w:kern w:val="32"/>
        </w:rPr>
        <w:t>现场勘察，做好危险辨识、风险研判和动火分析</w:t>
      </w:r>
      <w:r>
        <w:rPr>
          <w:rFonts w:hint="eastAsia" w:ascii="方正仿宋_GBK"/>
          <w:kern w:val="32"/>
        </w:rPr>
        <w:t>，</w:t>
      </w:r>
      <w:r>
        <w:rPr>
          <w:rFonts w:ascii="方正仿宋_GBK"/>
          <w:kern w:val="32"/>
        </w:rPr>
        <w:t>核查动火作业证内容与实际动火作业是否一致</w:t>
      </w:r>
      <w:r>
        <w:rPr>
          <w:rFonts w:hint="eastAsia" w:ascii="方正仿宋_GBK"/>
          <w:kern w:val="32"/>
        </w:rPr>
        <w:t>、施工区域与非施工区域之间是否采取防火分隔设施、动火点周边可燃物是否已清理、是否配备消防水源和消防器材等情况。</w:t>
      </w:r>
    </w:p>
    <w:p w14:paraId="784CD8F1">
      <w:pPr>
        <w:spacing w:line="570" w:lineRule="exact"/>
        <w:ind w:firstLine="632" w:firstLineChars="200"/>
        <w:rPr>
          <w:rFonts w:ascii="方正仿宋_GBK"/>
          <w:kern w:val="32"/>
        </w:rPr>
      </w:pPr>
      <w:r>
        <w:rPr>
          <w:rFonts w:hint="eastAsia" w:ascii="方正楷体_GBK" w:hAnsi="方正楷体_GBK" w:eastAsia="方正楷体_GBK" w:cs="方正楷体_GBK"/>
          <w:kern w:val="32"/>
        </w:rPr>
        <w:t>（四）动火作业一律现场监管</w:t>
      </w:r>
      <w:r>
        <w:rPr>
          <w:rFonts w:hint="eastAsia" w:ascii="方正仿宋_GBK"/>
          <w:kern w:val="32"/>
        </w:rPr>
        <w:t>。动火作业期间，施工单位应当安排专门人员进行现场全过程监护</w:t>
      </w:r>
      <w:r>
        <w:rPr>
          <w:rFonts w:hint="eastAsia" w:ascii="方正仿宋_GBK"/>
          <w:kern w:val="32"/>
          <w:lang w:eastAsia="zh-CN"/>
        </w:rPr>
        <w:t>，</w:t>
      </w:r>
      <w:r>
        <w:rPr>
          <w:rFonts w:hint="eastAsia" w:ascii="方正仿宋_GBK"/>
          <w:kern w:val="32"/>
          <w:lang w:val="en-US" w:eastAsia="zh-CN"/>
        </w:rPr>
        <w:t>必须避免与具有火灾、爆炸风险的作业产生交叉</w:t>
      </w:r>
      <w:r>
        <w:rPr>
          <w:rFonts w:hint="eastAsia" w:ascii="方正仿宋_GBK"/>
          <w:kern w:val="32"/>
        </w:rPr>
        <w:t>。动火作业结束后，应当进行现场复查</w:t>
      </w:r>
      <w:r>
        <w:rPr>
          <w:rFonts w:hint="eastAsia" w:ascii="方正仿宋_GBK"/>
          <w:kern w:val="32"/>
          <w:sz w:val="36"/>
          <w:szCs w:val="36"/>
        </w:rPr>
        <w:t>，</w:t>
      </w:r>
      <w:r>
        <w:rPr>
          <w:rFonts w:hint="eastAsia" w:ascii="方正仿宋_GBK"/>
          <w:kern w:val="32"/>
        </w:rPr>
        <w:t>确保无火灾危险后，方可离开。现场监护人员和作业人员在发生初起火灾时，要立即报警，组织扑救，并及时疏散人员。</w:t>
      </w:r>
    </w:p>
    <w:p w14:paraId="7E04A94D">
      <w:pPr>
        <w:spacing w:line="570" w:lineRule="exact"/>
        <w:ind w:firstLine="632" w:firstLineChars="200"/>
        <w:rPr>
          <w:rFonts w:hint="eastAsia" w:ascii="方正黑体_GBK" w:hAnsi="方正黑体_GBK" w:eastAsia="方正黑体_GBK" w:cs="方正黑体_GBK"/>
          <w:kern w:val="32"/>
        </w:rPr>
      </w:pPr>
      <w:r>
        <w:rPr>
          <w:rFonts w:hint="eastAsia" w:ascii="方正黑体_GBK" w:hAnsi="方正黑体_GBK" w:eastAsia="方正黑体_GBK" w:cs="方正黑体_GBK"/>
          <w:kern w:val="32"/>
        </w:rPr>
        <w:t>三、严格施工现场重点环节安全管理</w:t>
      </w:r>
    </w:p>
    <w:p w14:paraId="6DE2E1D1">
      <w:pPr>
        <w:spacing w:line="570" w:lineRule="exact"/>
        <w:ind w:firstLine="632" w:firstLineChars="200"/>
        <w:rPr>
          <w:rFonts w:ascii="方正仿宋_GBK"/>
          <w:kern w:val="32"/>
        </w:rPr>
      </w:pPr>
      <w:r>
        <w:rPr>
          <w:rFonts w:hint="eastAsia" w:ascii="方正楷体_GBK" w:hAnsi="方正楷体_GBK" w:eastAsia="方正楷体_GBK" w:cs="方正楷体_GBK"/>
          <w:kern w:val="32"/>
        </w:rPr>
        <w:t>（一）强化建筑施工特种作业人员证书管理</w:t>
      </w:r>
      <w:r>
        <w:rPr>
          <w:rFonts w:hint="eastAsia" w:ascii="方正仿宋_GBK"/>
          <w:kern w:val="32"/>
        </w:rPr>
        <w:t>。各地应当运用专项执法、明查暗访等方式，加强对建筑施工特种作业人员持证上岗情况执法检查，发现无证作业等行为的，依法责令停止作业、限期整改并</w:t>
      </w:r>
      <w:r>
        <w:rPr>
          <w:rFonts w:hint="eastAsia" w:ascii="方正仿宋_GBK"/>
          <w:kern w:val="32"/>
          <w:lang w:val="en-US" w:eastAsia="zh-CN"/>
        </w:rPr>
        <w:t>按规定处以</w:t>
      </w:r>
      <w:r>
        <w:rPr>
          <w:rFonts w:hint="eastAsia" w:ascii="方正仿宋_GBK"/>
          <w:kern w:val="32"/>
        </w:rPr>
        <w:t>罚款。</w:t>
      </w:r>
    </w:p>
    <w:p w14:paraId="3424B99C">
      <w:pPr>
        <w:spacing w:line="570" w:lineRule="exact"/>
        <w:ind w:firstLine="632" w:firstLineChars="200"/>
        <w:rPr>
          <w:rFonts w:ascii="方正仿宋_GBK"/>
          <w:kern w:val="32"/>
        </w:rPr>
      </w:pPr>
      <w:r>
        <w:rPr>
          <w:rFonts w:hint="eastAsia" w:ascii="方正楷体_GBK" w:hAnsi="方正楷体_GBK" w:eastAsia="方正楷体_GBK" w:cs="方正楷体_GBK"/>
          <w:kern w:val="32"/>
        </w:rPr>
        <w:t>（二）限制</w:t>
      </w:r>
      <w:bookmarkStart w:id="2" w:name="_GoBack"/>
      <w:bookmarkEnd w:id="2"/>
      <w:r>
        <w:rPr>
          <w:rFonts w:hint="eastAsia" w:ascii="方正楷体_GBK" w:hAnsi="方正楷体_GBK" w:eastAsia="方正楷体_GBK" w:cs="方正楷体_GBK"/>
          <w:kern w:val="32"/>
        </w:rPr>
        <w:t>使用危及消防安全的施工技术</w:t>
      </w:r>
      <w:r>
        <w:rPr>
          <w:rFonts w:hint="eastAsia" w:ascii="方正仿宋_GBK"/>
          <w:kern w:val="32"/>
        </w:rPr>
        <w:t>。各地应当严格执行住房城乡建设部发布的危及生产安全施工工艺、设备和材料技术淘汰目录，并按照要求重点检查施工工艺、设备和材料淘汰限制禁用情况。</w:t>
      </w:r>
    </w:p>
    <w:p w14:paraId="050C3822">
      <w:pPr>
        <w:spacing w:line="570" w:lineRule="exact"/>
        <w:ind w:firstLine="632" w:firstLineChars="200"/>
        <w:rPr>
          <w:rFonts w:ascii="方正仿宋_GBK"/>
          <w:kern w:val="32"/>
        </w:rPr>
      </w:pPr>
      <w:r>
        <w:rPr>
          <w:rFonts w:hint="eastAsia" w:ascii="方正楷体_GBK" w:hAnsi="方正楷体_GBK" w:eastAsia="方正楷体_GBK" w:cs="方正楷体_GBK"/>
          <w:kern w:val="32"/>
        </w:rPr>
        <w:t>（三）加强有限空间动火作业全流程安全监管</w:t>
      </w:r>
      <w:r>
        <w:rPr>
          <w:rFonts w:hint="eastAsia" w:ascii="方正仿宋_GBK"/>
          <w:kern w:val="32"/>
        </w:rPr>
        <w:t>。各地应当强化在有限空间场景下设备安装调试、保温材料施工、防腐和涂装作业等涉动火作业的安全监管，督促施工企业在开展动火作业前，加强对有限空间危险因素的辨识，明确有限空间内可能引发火灾、爆炸、中毒、窒息事故的危险物质，结合工程实际编制专项施工方案。落实有限空间动火作业个人防护、通风、气体检测、通讯照明、专人监护等安全管控措施。</w:t>
      </w:r>
    </w:p>
    <w:p w14:paraId="32EE17A9">
      <w:pPr>
        <w:spacing w:line="570" w:lineRule="exact"/>
        <w:ind w:firstLine="632" w:firstLineChars="200"/>
        <w:rPr>
          <w:rFonts w:ascii="方正仿宋_GBK"/>
          <w:kern w:val="32"/>
        </w:rPr>
      </w:pPr>
      <w:r>
        <w:rPr>
          <w:rFonts w:hint="eastAsia" w:ascii="方正楷体_GBK" w:hAnsi="方正楷体_GBK" w:eastAsia="方正楷体_GBK" w:cs="方正楷体_GBK"/>
          <w:kern w:val="32"/>
        </w:rPr>
        <w:t>（四）严格动火作业公告和现场消防安全管理。</w:t>
      </w:r>
      <w:r>
        <w:rPr>
          <w:rFonts w:hint="eastAsia" w:ascii="方正仿宋_GBK"/>
          <w:kern w:val="32"/>
        </w:rPr>
        <w:t>动火作业前，应当在建筑主要出入口、作业现场、材料堆放区等重点醒目位置进行公告，明确动火地点、作业范围、作业时间及管理人员等信息。动火作业施工现场应当按照规定设置警戒线或者安全警示标识，配备相应的消防器材，确保疏散通道、安全出口、消防车通道畅通。</w:t>
      </w:r>
    </w:p>
    <w:p w14:paraId="2A4BA16E">
      <w:pPr>
        <w:spacing w:line="570" w:lineRule="exact"/>
        <w:ind w:firstLine="632" w:firstLineChars="200"/>
        <w:rPr>
          <w:rFonts w:ascii="方正仿宋_GBK"/>
          <w:kern w:val="32"/>
          <w:highlight w:val="yellow"/>
        </w:rPr>
      </w:pPr>
      <w:r>
        <w:rPr>
          <w:rFonts w:hint="eastAsia" w:ascii="方正仿宋_GBK"/>
          <w:kern w:val="32"/>
          <w:lang w:val="en-US" w:eastAsia="zh-CN"/>
        </w:rPr>
        <w:t>各地对检查发现的施工现场涉嫌违反消防相关法律法规的行为，应当及时将线索移送消防救援机构等部门依法处理。</w:t>
      </w:r>
      <w:r>
        <w:rPr>
          <w:rFonts w:hint="eastAsia" w:ascii="方正仿宋_GBK"/>
          <w:kern w:val="32"/>
        </w:rPr>
        <w:t>发生涉及动火作业生产安全事故的，应当及时、完整、准确报送事故信息，并对相关企业和人员依法予以行政处罚，涉嫌犯罪的，依法移送司法部门处理。</w:t>
      </w:r>
    </w:p>
    <w:p w14:paraId="45245224">
      <w:pPr>
        <w:spacing w:line="570" w:lineRule="exact"/>
        <w:ind w:firstLine="632" w:firstLineChars="200"/>
        <w:rPr>
          <w:rFonts w:ascii="方正仿宋_GBK"/>
          <w:kern w:val="32"/>
        </w:rPr>
      </w:pPr>
      <w:r>
        <w:rPr>
          <w:rFonts w:hint="eastAsia" w:ascii="方正仿宋_GBK"/>
          <w:kern w:val="32"/>
        </w:rPr>
        <w:t>本通知自2026年*月*日起施行，有效期至年月日。《省住房城乡建设厅关于进一步加强房屋市政工程施工现场动火作业安全管理的通知》（</w:t>
      </w:r>
      <w:r>
        <w:t>苏建</w:t>
      </w:r>
      <w:r>
        <w:rPr>
          <w:rFonts w:hint="eastAsia"/>
        </w:rPr>
        <w:t>质安</w:t>
      </w:r>
      <w:r>
        <w:t>〔20</w:t>
      </w:r>
      <w:r>
        <w:rPr>
          <w:rFonts w:hint="eastAsia"/>
        </w:rPr>
        <w:t>25</w:t>
      </w:r>
      <w:r>
        <w:t>〕</w:t>
      </w:r>
      <w:r>
        <w:rPr>
          <w:rFonts w:hint="eastAsia"/>
        </w:rPr>
        <w:t>51</w:t>
      </w:r>
      <w:r>
        <w:t>号</w:t>
      </w:r>
      <w:r>
        <w:rPr>
          <w:rFonts w:hint="eastAsia" w:ascii="方正仿宋_GBK"/>
          <w:kern w:val="32"/>
        </w:rPr>
        <w:t>）同时废止。</w:t>
      </w:r>
    </w:p>
    <w:p w14:paraId="67EE9A30">
      <w:pPr>
        <w:adjustRightInd w:val="0"/>
        <w:spacing w:line="570" w:lineRule="exact"/>
        <w:ind w:right="158" w:rightChars="50" w:firstLine="0"/>
      </w:pPr>
    </w:p>
    <w:sectPr>
      <w:headerReference r:id="rId5" w:type="default"/>
      <w:footerReference r:id="rId7" w:type="default"/>
      <w:headerReference r:id="rId6" w:type="even"/>
      <w:footerReference r:id="rId8" w:type="even"/>
      <w:pgSz w:w="11906" w:h="16838"/>
      <w:pgMar w:top="2098" w:right="1474" w:bottom="1440" w:left="1531" w:header="720" w:footer="1474" w:gutter="0"/>
      <w:paperSrc w:first="15" w:other="15"/>
      <w:pgNumType w:start="1"/>
      <w:cols w:space="720" w:num="1"/>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汉鼎简大宋">
    <w:altName w:val="微软雅黑"/>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汉鼎简黑体">
    <w:altName w:val="黑体"/>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6CA586">
    <w:pPr>
      <w:pStyle w:val="5"/>
      <w:ind w:left="320" w:leftChars="100" w:right="320" w:rightChars="100"/>
      <w:jc w:val="right"/>
      <w:rPr>
        <w:rFonts w:hint="default" w:ascii="Times New Roman" w:hAnsi="Times New Roman" w:cs="Times New Roman"/>
      </w:rPr>
    </w:pPr>
    <w:r>
      <w:rPr>
        <w:rFonts w:hint="default" w:ascii="Times New Roman" w:hAnsi="Times New Roman" w:cs="Times New Roman"/>
      </w:rPr>
      <w:t xml:space="preserve">— </w:t>
    </w:r>
    <w:r>
      <w:rPr>
        <w:rStyle w:val="12"/>
        <w:rFonts w:hint="default" w:ascii="Times New Roman" w:hAnsi="Times New Roman" w:cs="Times New Roman"/>
      </w:rPr>
      <w:fldChar w:fldCharType="begin"/>
    </w:r>
    <w:r>
      <w:rPr>
        <w:rStyle w:val="12"/>
        <w:rFonts w:hint="default" w:ascii="Times New Roman" w:hAnsi="Times New Roman" w:cs="Times New Roman"/>
      </w:rPr>
      <w:instrText xml:space="preserve"> PAGE </w:instrText>
    </w:r>
    <w:r>
      <w:rPr>
        <w:rStyle w:val="12"/>
        <w:rFonts w:hint="default" w:ascii="Times New Roman" w:hAnsi="Times New Roman" w:cs="Times New Roman"/>
      </w:rPr>
      <w:fldChar w:fldCharType="separate"/>
    </w:r>
    <w:r>
      <w:rPr>
        <w:rStyle w:val="12"/>
        <w:rFonts w:hint="default" w:ascii="Times New Roman" w:hAnsi="Times New Roman" w:cs="Times New Roman"/>
      </w:rPr>
      <w:t>5</w:t>
    </w:r>
    <w:r>
      <w:rPr>
        <w:rStyle w:val="12"/>
        <w:rFonts w:hint="default" w:ascii="Times New Roman" w:hAnsi="Times New Roman" w:cs="Times New Roman"/>
      </w:rPr>
      <w:fldChar w:fldCharType="end"/>
    </w:r>
    <w:r>
      <w:rPr>
        <w:rStyle w:val="12"/>
        <w:rFonts w:hint="default" w:ascii="Times New Roman" w:hAnsi="Times New Roman" w:cs="Times New Roman"/>
      </w:rPr>
      <w:t xml:space="preserve"> </w:t>
    </w:r>
    <w:r>
      <w:rPr>
        <w:rFonts w:hint="default" w:ascii="Times New Roman" w:hAnsi="Times New Roman" w:cs="Times New Roman"/>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C1BA58">
    <w:pPr>
      <w:pStyle w:val="5"/>
      <w:ind w:left="320" w:leftChars="100" w:right="320" w:rightChars="100"/>
      <w:jc w:val="both"/>
      <w:rPr>
        <w:rFonts w:hint="default" w:ascii="Times New Roman" w:hAnsi="Times New Roman" w:cs="Times New Roman"/>
      </w:rPr>
    </w:pPr>
    <w:r>
      <w:rPr>
        <w:rFonts w:hint="default" w:ascii="Times New Roman" w:hAnsi="Times New Roman" w:cs="Times New Roman"/>
      </w:rPr>
      <w:t xml:space="preserve">— </w:t>
    </w:r>
    <w:r>
      <w:rPr>
        <w:rStyle w:val="12"/>
        <w:rFonts w:hint="default" w:ascii="Times New Roman" w:hAnsi="Times New Roman" w:cs="Times New Roman"/>
      </w:rPr>
      <w:fldChar w:fldCharType="begin"/>
    </w:r>
    <w:r>
      <w:rPr>
        <w:rStyle w:val="12"/>
        <w:rFonts w:hint="default" w:ascii="Times New Roman" w:hAnsi="Times New Roman" w:cs="Times New Roman"/>
      </w:rPr>
      <w:instrText xml:space="preserve"> PAGE </w:instrText>
    </w:r>
    <w:r>
      <w:rPr>
        <w:rStyle w:val="12"/>
        <w:rFonts w:hint="default" w:ascii="Times New Roman" w:hAnsi="Times New Roman" w:cs="Times New Roman"/>
      </w:rPr>
      <w:fldChar w:fldCharType="separate"/>
    </w:r>
    <w:r>
      <w:rPr>
        <w:rStyle w:val="12"/>
        <w:rFonts w:hint="default" w:ascii="Times New Roman" w:hAnsi="Times New Roman" w:cs="Times New Roman"/>
      </w:rPr>
      <w:t>6</w:t>
    </w:r>
    <w:r>
      <w:rPr>
        <w:rStyle w:val="12"/>
        <w:rFonts w:hint="default" w:ascii="Times New Roman" w:hAnsi="Times New Roman" w:cs="Times New Roman"/>
      </w:rPr>
      <w:fldChar w:fldCharType="end"/>
    </w:r>
    <w:r>
      <w:rPr>
        <w:rStyle w:val="12"/>
        <w:rFonts w:hint="default" w:ascii="Times New Roman" w:hAnsi="Times New Roman" w:cs="Times New Roman"/>
      </w:rPr>
      <w:t xml:space="preserve"> </w:t>
    </w:r>
    <w:r>
      <w:rPr>
        <w:rFonts w:hint="default" w:ascii="Times New Roman" w:hAnsi="Times New Roman" w:cs="Times New Roman"/>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460C80">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F60DCF">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trackRevisions w:val="1"/>
  <w:documentProtection w:enforcement="0"/>
  <w:defaultTabStop w:val="425"/>
  <w:evenAndOddHeaders w:val="1"/>
  <w:drawingGridHorizontalSpacing w:val="315"/>
  <w:drawingGridVerticalSpacing w:val="295"/>
  <w:noPunctuationKerning w:val="1"/>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4D105E"/>
    <w:rsid w:val="00004491"/>
    <w:rsid w:val="00024D59"/>
    <w:rsid w:val="00025D82"/>
    <w:rsid w:val="00026EC9"/>
    <w:rsid w:val="00026F78"/>
    <w:rsid w:val="000458F6"/>
    <w:rsid w:val="00086865"/>
    <w:rsid w:val="00092103"/>
    <w:rsid w:val="00112996"/>
    <w:rsid w:val="00132C9A"/>
    <w:rsid w:val="00150E8C"/>
    <w:rsid w:val="0017326B"/>
    <w:rsid w:val="00184CF2"/>
    <w:rsid w:val="001A760C"/>
    <w:rsid w:val="001B0021"/>
    <w:rsid w:val="001B4185"/>
    <w:rsid w:val="001E0881"/>
    <w:rsid w:val="001F5064"/>
    <w:rsid w:val="00210BC5"/>
    <w:rsid w:val="00245BF1"/>
    <w:rsid w:val="0025543A"/>
    <w:rsid w:val="002C67E8"/>
    <w:rsid w:val="002D1AE9"/>
    <w:rsid w:val="002D79CC"/>
    <w:rsid w:val="002F64EE"/>
    <w:rsid w:val="003055DA"/>
    <w:rsid w:val="00310770"/>
    <w:rsid w:val="00355535"/>
    <w:rsid w:val="0035559D"/>
    <w:rsid w:val="00366F5C"/>
    <w:rsid w:val="003804E6"/>
    <w:rsid w:val="00384509"/>
    <w:rsid w:val="003A2F05"/>
    <w:rsid w:val="003B6C15"/>
    <w:rsid w:val="003D4AA7"/>
    <w:rsid w:val="003D78FE"/>
    <w:rsid w:val="003F2C4E"/>
    <w:rsid w:val="00470B6D"/>
    <w:rsid w:val="00485EFE"/>
    <w:rsid w:val="004920F7"/>
    <w:rsid w:val="004C7D14"/>
    <w:rsid w:val="004E4535"/>
    <w:rsid w:val="004F5C29"/>
    <w:rsid w:val="00514536"/>
    <w:rsid w:val="005235BE"/>
    <w:rsid w:val="005421C5"/>
    <w:rsid w:val="00544264"/>
    <w:rsid w:val="0055066A"/>
    <w:rsid w:val="005A0672"/>
    <w:rsid w:val="005B6578"/>
    <w:rsid w:val="006558DD"/>
    <w:rsid w:val="00660926"/>
    <w:rsid w:val="00670554"/>
    <w:rsid w:val="00680F42"/>
    <w:rsid w:val="006B1140"/>
    <w:rsid w:val="006C67D5"/>
    <w:rsid w:val="006E59B5"/>
    <w:rsid w:val="00704F26"/>
    <w:rsid w:val="00710A08"/>
    <w:rsid w:val="00726582"/>
    <w:rsid w:val="0072697F"/>
    <w:rsid w:val="007809DC"/>
    <w:rsid w:val="007A1B3E"/>
    <w:rsid w:val="007A4692"/>
    <w:rsid w:val="007A66C9"/>
    <w:rsid w:val="007D468D"/>
    <w:rsid w:val="007E7EDD"/>
    <w:rsid w:val="008256B3"/>
    <w:rsid w:val="00854DDB"/>
    <w:rsid w:val="00947AF1"/>
    <w:rsid w:val="00966569"/>
    <w:rsid w:val="009935B8"/>
    <w:rsid w:val="009B6CCA"/>
    <w:rsid w:val="00A27EE0"/>
    <w:rsid w:val="00A445C2"/>
    <w:rsid w:val="00A75B09"/>
    <w:rsid w:val="00A76B0B"/>
    <w:rsid w:val="00A86587"/>
    <w:rsid w:val="00A92236"/>
    <w:rsid w:val="00AB1867"/>
    <w:rsid w:val="00B37374"/>
    <w:rsid w:val="00B438AB"/>
    <w:rsid w:val="00B62F54"/>
    <w:rsid w:val="00B65B1F"/>
    <w:rsid w:val="00BF3D39"/>
    <w:rsid w:val="00C03324"/>
    <w:rsid w:val="00C20492"/>
    <w:rsid w:val="00C224B9"/>
    <w:rsid w:val="00C25057"/>
    <w:rsid w:val="00C31FC7"/>
    <w:rsid w:val="00C32A88"/>
    <w:rsid w:val="00C70446"/>
    <w:rsid w:val="00C73BD2"/>
    <w:rsid w:val="00C818C1"/>
    <w:rsid w:val="00D52B6E"/>
    <w:rsid w:val="00D62B7D"/>
    <w:rsid w:val="00D908E9"/>
    <w:rsid w:val="00DC1B78"/>
    <w:rsid w:val="00DE6B66"/>
    <w:rsid w:val="00E24AB3"/>
    <w:rsid w:val="00EA0244"/>
    <w:rsid w:val="00EC0461"/>
    <w:rsid w:val="00ED44B8"/>
    <w:rsid w:val="00EF7395"/>
    <w:rsid w:val="00F3206F"/>
    <w:rsid w:val="00F33B1C"/>
    <w:rsid w:val="00F42CF8"/>
    <w:rsid w:val="00F53AAD"/>
    <w:rsid w:val="00F57E19"/>
    <w:rsid w:val="00F90B02"/>
    <w:rsid w:val="00FA676A"/>
    <w:rsid w:val="00FD1F13"/>
    <w:rsid w:val="00FE33C9"/>
    <w:rsid w:val="00FE3B7B"/>
    <w:rsid w:val="022A16F5"/>
    <w:rsid w:val="04B547FC"/>
    <w:rsid w:val="04E11AED"/>
    <w:rsid w:val="084E60B4"/>
    <w:rsid w:val="092E4D8E"/>
    <w:rsid w:val="0A9C4262"/>
    <w:rsid w:val="0DF06AB6"/>
    <w:rsid w:val="0E6B26B6"/>
    <w:rsid w:val="0E8D07A9"/>
    <w:rsid w:val="12EC436F"/>
    <w:rsid w:val="14304EC9"/>
    <w:rsid w:val="1884654A"/>
    <w:rsid w:val="1A4B33FF"/>
    <w:rsid w:val="1B15245C"/>
    <w:rsid w:val="1BEF2AA3"/>
    <w:rsid w:val="1D8167F8"/>
    <w:rsid w:val="1D915B86"/>
    <w:rsid w:val="1E454BFC"/>
    <w:rsid w:val="1ECA0581"/>
    <w:rsid w:val="1FA7CE86"/>
    <w:rsid w:val="20C52ED3"/>
    <w:rsid w:val="263E4E2C"/>
    <w:rsid w:val="268358DF"/>
    <w:rsid w:val="269E47D0"/>
    <w:rsid w:val="27F2195E"/>
    <w:rsid w:val="28A864B3"/>
    <w:rsid w:val="29EB5AED"/>
    <w:rsid w:val="2DD344D4"/>
    <w:rsid w:val="2DF4595A"/>
    <w:rsid w:val="2F38113B"/>
    <w:rsid w:val="306C6D50"/>
    <w:rsid w:val="324D105E"/>
    <w:rsid w:val="325841DA"/>
    <w:rsid w:val="32AE1B69"/>
    <w:rsid w:val="32B32D96"/>
    <w:rsid w:val="32C64BDF"/>
    <w:rsid w:val="347B2A31"/>
    <w:rsid w:val="36F3056E"/>
    <w:rsid w:val="383A66CB"/>
    <w:rsid w:val="39455571"/>
    <w:rsid w:val="3B3C74E6"/>
    <w:rsid w:val="3F8F587F"/>
    <w:rsid w:val="3FDFA76A"/>
    <w:rsid w:val="425E2B17"/>
    <w:rsid w:val="45C36283"/>
    <w:rsid w:val="4E196ADC"/>
    <w:rsid w:val="527903F5"/>
    <w:rsid w:val="52A95F39"/>
    <w:rsid w:val="52B73D28"/>
    <w:rsid w:val="55271637"/>
    <w:rsid w:val="579E6214"/>
    <w:rsid w:val="57F9218E"/>
    <w:rsid w:val="5B7C31FE"/>
    <w:rsid w:val="5D0443B2"/>
    <w:rsid w:val="5F3758C0"/>
    <w:rsid w:val="5FE5531C"/>
    <w:rsid w:val="5FFF9D9C"/>
    <w:rsid w:val="65996178"/>
    <w:rsid w:val="66690766"/>
    <w:rsid w:val="67DA5CB5"/>
    <w:rsid w:val="6B922DB2"/>
    <w:rsid w:val="6C494F96"/>
    <w:rsid w:val="6F7B1599"/>
    <w:rsid w:val="6FFF732F"/>
    <w:rsid w:val="70657AC6"/>
    <w:rsid w:val="730D3317"/>
    <w:rsid w:val="7318110C"/>
    <w:rsid w:val="754465F5"/>
    <w:rsid w:val="75A35605"/>
    <w:rsid w:val="75E748EA"/>
    <w:rsid w:val="784F13E2"/>
    <w:rsid w:val="7A2F78C3"/>
    <w:rsid w:val="7A507E4B"/>
    <w:rsid w:val="7B281E51"/>
    <w:rsid w:val="7DF46D5E"/>
    <w:rsid w:val="7EC0035D"/>
    <w:rsid w:val="7F5A75FF"/>
    <w:rsid w:val="7F9F3273"/>
    <w:rsid w:val="7FBB7F2C"/>
    <w:rsid w:val="7FF8274B"/>
    <w:rsid w:val="7FFE4633"/>
    <w:rsid w:val="8BF77B7E"/>
    <w:rsid w:val="BA6F0E47"/>
    <w:rsid w:val="DEBEC187"/>
    <w:rsid w:val="DEF8836B"/>
    <w:rsid w:val="DFF6D888"/>
    <w:rsid w:val="EBFF3A74"/>
    <w:rsid w:val="F59B639A"/>
    <w:rsid w:val="F6F720E1"/>
    <w:rsid w:val="F7A91648"/>
    <w:rsid w:val="FFDF49E0"/>
    <w:rsid w:val="FFDFA6D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annotation text"/>
    <w:basedOn w:val="1"/>
    <w:qFormat/>
    <w:uiPriority w:val="0"/>
    <w:pPr>
      <w:jc w:val="left"/>
    </w:pPr>
  </w:style>
  <w:style w:type="paragraph" w:styleId="5">
    <w:name w:val="footer"/>
    <w:basedOn w:val="1"/>
    <w:qFormat/>
    <w:uiPriority w:val="0"/>
    <w:pPr>
      <w:tabs>
        <w:tab w:val="center" w:pos="4153"/>
        <w:tab w:val="right" w:pos="8306"/>
      </w:tabs>
      <w:spacing w:line="400" w:lineRule="atLeast"/>
      <w:ind w:firstLine="0"/>
      <w:jc w:val="center"/>
    </w:pPr>
    <w:rPr>
      <w:sz w:val="28"/>
    </w:rPr>
  </w:style>
  <w:style w:type="paragraph" w:styleId="6">
    <w:name w:val="header"/>
    <w:basedOn w:val="1"/>
    <w:qFormat/>
    <w:uiPriority w:val="0"/>
    <w:pPr>
      <w:pBdr>
        <w:bottom w:val="single" w:color="auto" w:sz="6" w:space="1"/>
      </w:pBdr>
      <w:tabs>
        <w:tab w:val="center" w:pos="4153"/>
        <w:tab w:val="right" w:pos="8306"/>
      </w:tabs>
      <w:spacing w:line="240" w:lineRule="atLeast"/>
      <w:jc w:val="center"/>
    </w:pPr>
    <w:rPr>
      <w:sz w:val="18"/>
    </w:rPr>
  </w:style>
  <w:style w:type="paragraph" w:styleId="7">
    <w:name w:val="Title"/>
    <w:basedOn w:val="1"/>
    <w:qFormat/>
    <w:uiPriority w:val="0"/>
    <w:pPr>
      <w:spacing w:after="160" w:line="640" w:lineRule="exact"/>
      <w:ind w:firstLine="0"/>
      <w:jc w:val="center"/>
      <w:outlineLvl w:val="0"/>
    </w:pPr>
    <w:rPr>
      <w:rFonts w:hint="eastAsia" w:ascii="方正小标宋_GBK" w:hAnsi="Cambria" w:eastAsia="方正小标宋_GBK"/>
      <w:bCs/>
      <w:kern w:val="2"/>
      <w:sz w:val="44"/>
      <w:szCs w:val="44"/>
    </w:rPr>
  </w:style>
  <w:style w:type="table" w:styleId="9">
    <w:name w:val="Table Grid"/>
    <w:basedOn w:val="8"/>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22"/>
    <w:rPr>
      <w:b/>
      <w:bCs/>
    </w:rPr>
  </w:style>
  <w:style w:type="character" w:styleId="12">
    <w:name w:val="page number"/>
    <w:basedOn w:val="10"/>
    <w:qFormat/>
    <w:uiPriority w:val="0"/>
  </w:style>
  <w:style w:type="character" w:styleId="13">
    <w:name w:val="annotation reference"/>
    <w:basedOn w:val="10"/>
    <w:qFormat/>
    <w:uiPriority w:val="0"/>
    <w:rPr>
      <w:sz w:val="21"/>
      <w:szCs w:val="21"/>
    </w:rPr>
  </w:style>
  <w:style w:type="paragraph" w:customStyle="1" w:styleId="14">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5">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16">
    <w:name w:val="标题2"/>
    <w:basedOn w:val="1"/>
    <w:next w:val="1"/>
    <w:qFormat/>
    <w:uiPriority w:val="0"/>
    <w:pPr>
      <w:ind w:firstLine="0"/>
      <w:jc w:val="center"/>
    </w:pPr>
    <w:rPr>
      <w:rFonts w:eastAsia="方正楷体_GBK"/>
    </w:rPr>
  </w:style>
  <w:style w:type="paragraph" w:customStyle="1" w:styleId="17">
    <w:name w:val="标题3"/>
    <w:basedOn w:val="1"/>
    <w:next w:val="1"/>
    <w:qFormat/>
    <w:uiPriority w:val="0"/>
    <w:rPr>
      <w:rFonts w:eastAsia="方正黑体_GBK"/>
    </w:rPr>
  </w:style>
  <w:style w:type="paragraph" w:customStyle="1" w:styleId="18">
    <w:name w:val="密级"/>
    <w:basedOn w:val="1"/>
    <w:qFormat/>
    <w:uiPriority w:val="0"/>
    <w:pPr>
      <w:adjustRightInd w:val="0"/>
      <w:snapToGrid/>
      <w:spacing w:line="425" w:lineRule="atLeast"/>
      <w:ind w:firstLine="0"/>
      <w:jc w:val="right"/>
    </w:pPr>
    <w:rPr>
      <w:rFonts w:ascii="黑体" w:eastAsia="黑体"/>
      <w:sz w:val="30"/>
    </w:rPr>
  </w:style>
  <w:style w:type="paragraph" w:customStyle="1" w:styleId="19">
    <w:name w:val="主题词"/>
    <w:basedOn w:val="1"/>
    <w:qFormat/>
    <w:uiPriority w:val="0"/>
    <w:pPr>
      <w:adjustRightInd w:val="0"/>
      <w:snapToGrid/>
      <w:spacing w:line="240" w:lineRule="atLeast"/>
      <w:ind w:firstLine="0"/>
      <w:jc w:val="left"/>
    </w:pPr>
    <w:rPr>
      <w:rFonts w:ascii="方正黑体_GBK" w:eastAsia="方正黑体_GBK"/>
    </w:rPr>
  </w:style>
  <w:style w:type="paragraph" w:customStyle="1" w:styleId="20">
    <w:name w:val="抄送栏"/>
    <w:basedOn w:val="1"/>
    <w:qFormat/>
    <w:uiPriority w:val="0"/>
    <w:pPr>
      <w:adjustRightInd w:val="0"/>
      <w:snapToGrid/>
      <w:spacing w:line="454" w:lineRule="atLeast"/>
      <w:ind w:left="1310" w:right="357" w:hanging="953"/>
    </w:pPr>
  </w:style>
  <w:style w:type="paragraph" w:customStyle="1" w:styleId="21">
    <w:name w:val="线型"/>
    <w:basedOn w:val="20"/>
    <w:qFormat/>
    <w:uiPriority w:val="0"/>
    <w:pPr>
      <w:spacing w:line="240" w:lineRule="auto"/>
      <w:ind w:left="0" w:firstLine="0"/>
      <w:jc w:val="center"/>
    </w:pPr>
    <w:rPr>
      <w:sz w:val="21"/>
    </w:rPr>
  </w:style>
  <w:style w:type="paragraph" w:customStyle="1" w:styleId="22">
    <w:name w:val="印发栏"/>
    <w:basedOn w:val="3"/>
    <w:qFormat/>
    <w:uiPriority w:val="0"/>
    <w:pPr>
      <w:tabs>
        <w:tab w:val="right" w:pos="8465"/>
      </w:tabs>
      <w:spacing w:line="454" w:lineRule="atLeast"/>
      <w:ind w:left="357" w:right="357"/>
    </w:pPr>
    <w:rPr>
      <w:spacing w:val="0"/>
    </w:rPr>
  </w:style>
  <w:style w:type="paragraph" w:customStyle="1" w:styleId="23">
    <w:name w:val="印数"/>
    <w:basedOn w:val="22"/>
    <w:qFormat/>
    <w:uiPriority w:val="0"/>
    <w:pPr>
      <w:spacing w:line="400" w:lineRule="atLeast"/>
      <w:ind w:left="0" w:right="0"/>
      <w:jc w:val="right"/>
    </w:pPr>
  </w:style>
  <w:style w:type="paragraph" w:customStyle="1" w:styleId="24">
    <w:name w:val="附件栏"/>
    <w:basedOn w:val="1"/>
    <w:qFormat/>
    <w:uiPriority w:val="0"/>
  </w:style>
  <w:style w:type="paragraph" w:customStyle="1" w:styleId="25">
    <w:name w:val="文头"/>
    <w:basedOn w:val="1"/>
    <w:qFormat/>
    <w:uiPriority w:val="0"/>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26">
    <w:name w:val="紧急程度"/>
    <w:basedOn w:val="18"/>
    <w:qFormat/>
    <w:uiPriority w:val="0"/>
    <w:pPr>
      <w:spacing w:line="397" w:lineRule="atLeast"/>
    </w:pPr>
    <w:rPr>
      <w:rFonts w:ascii="汉鼎简黑体" w:hAnsi="汉鼎简黑体" w:eastAsia="汉鼎简黑体"/>
      <w:sz w:val="32"/>
    </w:rPr>
  </w:style>
  <w:style w:type="paragraph" w:customStyle="1" w:styleId="27">
    <w:name w:val="样式 主题词 + 段后: 8.85 磅 行距: 固定值 26 磅"/>
    <w:basedOn w:val="19"/>
    <w:qFormat/>
    <w:uiPriority w:val="0"/>
    <w:pPr>
      <w:spacing w:after="177" w:line="520" w:lineRule="exact"/>
    </w:pPr>
    <w:rPr>
      <w:rFonts w:cs="宋体"/>
      <w:bCs/>
    </w:rPr>
  </w:style>
  <w:style w:type="character" w:customStyle="1" w:styleId="28">
    <w:name w:val="15"/>
    <w:basedOn w:val="10"/>
    <w:qFormat/>
    <w:uiPriority w:val="0"/>
    <w:rPr>
      <w:rFonts w:hint="eastAsia" w:ascii="方正楷体_GBK" w:hAnsi="Cambria" w:eastAsia="方正楷体_GBK" w:cs="Times New Roman"/>
      <w:bCs/>
      <w:sz w:val="32"/>
      <w:szCs w:val="32"/>
    </w:rPr>
  </w:style>
  <w:style w:type="character" w:customStyle="1" w:styleId="29">
    <w:name w:val="10"/>
    <w:basedOn w:val="10"/>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2085</Words>
  <Characters>2092</Characters>
  <Lines>44</Lines>
  <Paragraphs>21</Paragraphs>
  <TotalTime>132</TotalTime>
  <ScaleCrop>false</ScaleCrop>
  <LinksUpToDate>false</LinksUpToDate>
  <CharactersWithSpaces>2092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2023-05-26T15:54:00Z</dcterms:created>
  <dc:creator>zjt</dc:creator>
  <cp:lastModifiedBy>Administrator</cp:lastModifiedBy>
  <cp:lastPrinted>2026-06-01T02:45:00Z</cp:lastPrinted>
  <dcterms:modified xsi:type="dcterms:W3CDTF">2026-07-02T09:19:15Z</dcterms:modified>
  <dc:title>省厅2（下行）</dc:title>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eyJoZGlkIjoiYWVkNDA5MGNkOTYzMjBkNDk1NTgxNWZjNGZkM2Y0NzYiLCJ1c2VySWQiOiIxNzkxMzgxNTIwIn0=</vt:lpwstr>
  </property>
  <property fmtid="{D5CDD505-2E9C-101B-9397-08002B2CF9AE}" pid="4" name="ICV">
    <vt:lpwstr>99B6616F270744E8B4CE5072DC931006_13</vt:lpwstr>
  </property>
</Properties>
</file>